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23"/>
        <w:gridCol w:w="543"/>
        <w:gridCol w:w="425"/>
        <w:gridCol w:w="465"/>
        <w:gridCol w:w="414"/>
        <w:gridCol w:w="359"/>
        <w:gridCol w:w="10"/>
        <w:gridCol w:w="373"/>
        <w:gridCol w:w="554"/>
        <w:gridCol w:w="172"/>
        <w:gridCol w:w="118"/>
        <w:gridCol w:w="151"/>
        <w:gridCol w:w="300"/>
        <w:gridCol w:w="353"/>
        <w:gridCol w:w="217"/>
        <w:gridCol w:w="570"/>
        <w:gridCol w:w="115"/>
        <w:gridCol w:w="115"/>
        <w:gridCol w:w="419"/>
        <w:gridCol w:w="115"/>
        <w:gridCol w:w="405"/>
        <w:gridCol w:w="115"/>
        <w:gridCol w:w="266"/>
        <w:gridCol w:w="304"/>
        <w:gridCol w:w="317"/>
        <w:gridCol w:w="253"/>
        <w:gridCol w:w="570"/>
        <w:gridCol w:w="172"/>
        <w:gridCol w:w="1422"/>
        <w:gridCol w:w="10"/>
      </w:tblGrid>
      <w:tr w:rsidR="00D71DA0" w:rsidRPr="00D71DA0" w14:paraId="6E35F8BE" w14:textId="77777777" w:rsidTr="007B0C46">
        <w:trPr>
          <w:gridAfter w:val="1"/>
          <w:wAfter w:w="10" w:type="dxa"/>
          <w:trHeight w:val="1611"/>
          <w:jc w:val="center"/>
        </w:trPr>
        <w:tc>
          <w:tcPr>
            <w:tcW w:w="6462" w:type="dxa"/>
            <w:gridSpan w:val="17"/>
          </w:tcPr>
          <w:p w14:paraId="3335E8EF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bookmarkStart w:id="0" w:name="t1"/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Nazwa projektu</w:t>
            </w:r>
          </w:p>
          <w:p w14:paraId="3635F270" w14:textId="77777777" w:rsidR="00D71DA0" w:rsidRPr="00D71DA0" w:rsidRDefault="00D71DA0" w:rsidP="00D71DA0">
            <w:pPr>
              <w:spacing w:after="0" w:line="240" w:lineRule="auto"/>
              <w:ind w:hanging="45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bookmarkStart w:id="1" w:name="t2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projekt rozporządzenia Ministra Zdrowia w sprawie r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2"/>
                <w:szCs w:val="22"/>
                <w:lang w:eastAsia="pl-PL"/>
                <w14:ligatures w14:val="none"/>
              </w:rPr>
              <w:t>ejestru endoprotezoplasty</w:t>
            </w:r>
            <w:bookmarkEnd w:id="1"/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2"/>
                <w:szCs w:val="22"/>
                <w:lang w:eastAsia="pl-PL"/>
                <w14:ligatures w14:val="none"/>
              </w:rPr>
              <w:t>k</w:t>
            </w:r>
          </w:p>
          <w:p w14:paraId="4EA295D1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Ministerstwo wiodące i ministerstwa współpracujące</w:t>
            </w:r>
          </w:p>
          <w:p w14:paraId="4E5A58AE" w14:textId="77777777" w:rsidR="00D71DA0" w:rsidRPr="00D71DA0" w:rsidRDefault="00D71DA0" w:rsidP="00D71DA0">
            <w:pPr>
              <w:spacing w:after="0" w:line="240" w:lineRule="auto"/>
              <w:ind w:hanging="34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Ministerstwo Zdrowia</w:t>
            </w:r>
            <w:bookmarkEnd w:id="0"/>
          </w:p>
          <w:p w14:paraId="7B08D8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1"/>
                <w14:ligatures w14:val="none"/>
              </w:rPr>
            </w:pPr>
          </w:p>
          <w:p w14:paraId="1D5F4B62" w14:textId="77777777" w:rsid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14:ligatures w14:val="none"/>
              </w:rPr>
              <w:t>Osoba odpowiedzialna za projekt w randze Ministra, Sekretarza Stanu lub Podsekretarza Stanu</w:t>
            </w: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  <w:t xml:space="preserve"> </w:t>
            </w:r>
          </w:p>
          <w:p w14:paraId="4387A8CA" w14:textId="1DD008EE" w:rsidR="004B6FD8" w:rsidRPr="004B6FD8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1"/>
                <w:szCs w:val="21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bCs/>
                <w:kern w:val="0"/>
                <w:sz w:val="21"/>
                <w:szCs w:val="21"/>
                <w14:ligatures w14:val="none"/>
              </w:rPr>
              <w:t>Tomasz Maciejewski – Podsekretarz Stanu w Ministerstwie Zdrowia</w:t>
            </w:r>
          </w:p>
          <w:p w14:paraId="65559A62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Kontakt do opiekuna merytorycznego projektu</w:t>
            </w:r>
          </w:p>
          <w:p w14:paraId="201084BC" w14:textId="57B27250" w:rsidR="00D71DA0" w:rsidRPr="00D71DA0" w:rsidRDefault="00D71DA0" w:rsidP="00D71DA0">
            <w:pPr>
              <w:spacing w:after="0" w:line="240" w:lineRule="auto"/>
              <w:ind w:hanging="3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Pani Dominika Janiszewska-Kajka, Zastępca Dyrektora Departamentu </w:t>
            </w:r>
            <w:r w:rsidR="00E6106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Analiz i Strategii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w Ministerstwie Zdrowia,</w:t>
            </w:r>
          </w:p>
          <w:p w14:paraId="34C0DFB0" w14:textId="49391B5C" w:rsidR="00D71DA0" w:rsidRPr="00A47648" w:rsidRDefault="00D71DA0" w:rsidP="00D71DA0">
            <w:pPr>
              <w:spacing w:after="0" w:line="240" w:lineRule="auto"/>
              <w:ind w:hanging="34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s-ES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tel. (22) 530 02 </w:t>
            </w:r>
            <w:r w:rsidR="003B273B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99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, e-mail: </w:t>
            </w:r>
            <w:r w:rsidR="003B273B" w:rsidRPr="003B273B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 dep-as@mz.gov.pl </w:t>
            </w:r>
          </w:p>
        </w:tc>
        <w:tc>
          <w:tcPr>
            <w:tcW w:w="4473" w:type="dxa"/>
            <w:gridSpan w:val="12"/>
            <w:shd w:val="clear" w:color="auto" w:fill="FFFFFF" w:themeFill="background1"/>
          </w:tcPr>
          <w:p w14:paraId="66523009" w14:textId="74B99CAE" w:rsidR="00D71DA0" w:rsidRPr="00D71DA0" w:rsidRDefault="00D71DA0" w:rsidP="3D1B7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3D1B7A4D">
              <w:rPr>
                <w:rFonts w:ascii="Times New Roman" w:eastAsia="Calibri" w:hAnsi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  <w:t>Data sporządzenia</w:t>
            </w: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  <w:br/>
            </w:r>
            <w:r w:rsidR="004130FE" w:rsidRPr="00F442F1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0</w:t>
            </w:r>
            <w:r w:rsidR="00751D50" w:rsidRPr="00F442F1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5</w:t>
            </w:r>
            <w:r w:rsidRPr="00F442F1">
              <w:rPr>
                <w:rFonts w:ascii="Times New Roman" w:eastAsia="Calibri" w:hAnsi="Times New Roman" w:cs="Times New Roman"/>
                <w:sz w:val="21"/>
                <w:szCs w:val="21"/>
              </w:rPr>
              <w:t>.</w:t>
            </w:r>
            <w:r w:rsidR="004130FE" w:rsidRPr="00F442F1">
              <w:rPr>
                <w:rFonts w:ascii="Times New Roman" w:eastAsia="Calibri" w:hAnsi="Times New Roman" w:cs="Times New Roman"/>
                <w:sz w:val="21"/>
                <w:szCs w:val="21"/>
              </w:rPr>
              <w:t>08</w:t>
            </w:r>
            <w:r w:rsidRPr="00F442F1">
              <w:rPr>
                <w:rFonts w:ascii="Times New Roman" w:eastAsia="Calibri" w:hAnsi="Times New Roman" w:cs="Times New Roman"/>
                <w:sz w:val="21"/>
                <w:szCs w:val="21"/>
              </w:rPr>
              <w:t>.202</w:t>
            </w:r>
            <w:r w:rsidR="1D0C77DB" w:rsidRPr="00F442F1">
              <w:rPr>
                <w:rFonts w:ascii="Times New Roman" w:eastAsia="Calibri" w:hAnsi="Times New Roman" w:cs="Times New Roman"/>
                <w:sz w:val="21"/>
                <w:szCs w:val="21"/>
              </w:rPr>
              <w:t>6</w:t>
            </w:r>
            <w:r w:rsidRPr="00F442F1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r.</w:t>
            </w:r>
          </w:p>
          <w:p w14:paraId="7A09C5F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</w:p>
          <w:p w14:paraId="63FBDEB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Źródło: </w:t>
            </w:r>
            <w:bookmarkStart w:id="2" w:name="Lista1"/>
          </w:p>
          <w:bookmarkEnd w:id="2"/>
          <w:p w14:paraId="509BA117" w14:textId="7AE71E9F" w:rsidR="00D71DA0" w:rsidRPr="00D71DA0" w:rsidRDefault="7F1451D4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art. 20 ust. 1 ustawy z dnia 28 kwietnia </w:t>
            </w:r>
            <w:r w:rsidR="00D71DA0"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br/>
            </w: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2011 r. o systemie informacji w ochronie zdrowia (Dz. U. z 202</w:t>
            </w:r>
            <w:r w:rsidR="48691E13"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r. poz. </w:t>
            </w:r>
            <w:r w:rsidR="5C710214"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208</w:t>
            </w:r>
            <w:r w:rsidR="02963B3F"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, z </w:t>
            </w:r>
            <w:proofErr w:type="spellStart"/>
            <w:r w:rsidR="02963B3F"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późn</w:t>
            </w:r>
            <w:proofErr w:type="spellEnd"/>
            <w:r w:rsidR="02963B3F"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. zm.</w:t>
            </w:r>
            <w:r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  <w:p w14:paraId="7D7FD94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</w:p>
          <w:p w14:paraId="1D60D842" w14:textId="77777777" w:rsidR="006A674B" w:rsidRDefault="00D71DA0" w:rsidP="00D71DA0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w Wykazie prac legislacyjnych Ministra Zdrowia: </w:t>
            </w:r>
          </w:p>
          <w:p w14:paraId="2CC05908" w14:textId="15A9EFB7" w:rsidR="00D71DA0" w:rsidRPr="00D71DA0" w:rsidRDefault="00D71DA0" w:rsidP="00D71DA0">
            <w:pPr>
              <w:spacing w:before="120"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MZ </w:t>
            </w:r>
            <w:r w:rsidR="006A674B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>DER</w:t>
            </w:r>
            <w:r w:rsidRPr="00D71DA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>1804</w:t>
            </w:r>
          </w:p>
          <w:p w14:paraId="6A245D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5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  <w:p w14:paraId="102B750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D71DA0" w:rsidRPr="00D71DA0" w14:paraId="04CE86DC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99CCFF"/>
          </w:tcPr>
          <w:p w14:paraId="27947162" w14:textId="77777777" w:rsidR="00D71DA0" w:rsidRPr="00D71DA0" w:rsidRDefault="00D71DA0" w:rsidP="00D71DA0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color w:val="FFFFFF"/>
                <w:kern w:val="0"/>
                <w:sz w:val="32"/>
                <w:szCs w:val="3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FFFFFF"/>
                <w:kern w:val="0"/>
                <w:sz w:val="32"/>
                <w:szCs w:val="32"/>
                <w14:ligatures w14:val="none"/>
              </w:rPr>
              <w:t>OCENA SKUTKÓW REGULACJI</w:t>
            </w:r>
          </w:p>
        </w:tc>
      </w:tr>
      <w:tr w:rsidR="00D71DA0" w:rsidRPr="00D71DA0" w14:paraId="7B330F56" w14:textId="77777777" w:rsidTr="007B0C46">
        <w:trPr>
          <w:gridAfter w:val="1"/>
          <w:wAfter w:w="10" w:type="dxa"/>
          <w:trHeight w:val="333"/>
          <w:jc w:val="center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021859A0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Jaki problem jest rozwiązywany?</w:t>
            </w:r>
            <w:bookmarkStart w:id="3" w:name="Wybór1"/>
            <w:bookmarkEnd w:id="3"/>
          </w:p>
        </w:tc>
      </w:tr>
      <w:tr w:rsidR="00D71DA0" w:rsidRPr="00D71DA0" w14:paraId="6775B247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FFFFFF" w:themeFill="background1"/>
          </w:tcPr>
          <w:p w14:paraId="0829B969" w14:textId="01818329" w:rsidR="004B6FD8" w:rsidRPr="004B6FD8" w:rsidRDefault="1420CEF0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Rejestr endoprotezoplastyk został utworzony rozporządzeniem Ministra Zdrowia z dnia 3 grudnia 2019 r. w sprawie rejestru endoprotezoplastyk (Dz.</w:t>
            </w:r>
            <w:r w:rsidR="20C5E23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U.</w:t>
            </w:r>
            <w:r w:rsidR="00A4643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z 2019 r.</w:t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poz. 2409), wydanym na podstawie art. 20 ust. 1 ustawy z dnia 28 kwietnia 2011 r.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o systemie informacji w ochronie zdrowia</w:t>
            </w:r>
            <w:r w:rsidR="1E9DF14C"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.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14:paraId="43BAB900" w14:textId="77777777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Celem projektowanego rozporządzenia jest wdrożenie rozwiązań o charakterze </w:t>
            </w:r>
            <w:proofErr w:type="spellStart"/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deregulacyjnym</w:t>
            </w:r>
            <w:proofErr w:type="spellEnd"/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, które umożliwią podmiotom obowiązanym raportowanie jedynie niezbędnych do funkcjonowania rejestru danych i identyfikatorów, eliminując przy tym obowiązek raportowania tych danych, których dalsze przetwarzanie jest niecelowe oraz nie charakteryzujące się wartością statystyczno-analityczną. Ponadto podczas kilku lat funkcjonowania rejestru pojawiła się konieczność wprowadzenia nowych rozwiązań, zapewniających systematyczny proces monitorowania danych dotyczących endoprotezoplastyk i wprowadzenia ustrukturyzowanego systemu, co umożliwi poznanie rzeczywistego zapotrzebowania na endoprotezoplastykę, informacji o zabiegach, a także bardziej racjonalne projektowanie wydatków przeznaczanych na ten cel. </w:t>
            </w:r>
          </w:p>
          <w:p w14:paraId="70E049A2" w14:textId="3966B956" w:rsidR="00D71DA0" w:rsidRPr="00D71DA0" w:rsidRDefault="1420CEF0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Wprowadzenie rozwiązań proponowanych w projektowanym rozporządzeniu jest możliwe wyłącznie przez wydanie nowego aktu wykonawczego. Jest to spowodowane tym, że na podstawie art. 65 ustawy z dnia 16 czerwca 2023 r. o jakości w opiece zdrowotnej i bezpieczeństwie pacjenta (</w:t>
            </w:r>
            <w:r w:rsidR="00A46430" w:rsidRPr="00A4643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Dz.U. </w:t>
            </w:r>
            <w:r w:rsidR="00A4643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z </w:t>
            </w:r>
            <w:r w:rsidR="00A46430" w:rsidRPr="00A4643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2023</w:t>
            </w:r>
            <w:r w:rsidR="00A4643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r.</w:t>
            </w:r>
            <w:r w:rsidR="00A46430" w:rsidRPr="00A4643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poz. 1692</w:t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) dotychczasowe przepisy wykonawcze wydane na podstawie art. 20 ust. 1 ustawy z dnia 28 kwietnia 2011 r. o systemie informacji w ochronie zdrowia, zachowują moc nie dłużej niż do dnia 31 grudnia 2027 r. Natomiast § 34 rozporządzenia Prezesa Rady Ministrów z dnia 20 czerwca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2002 r. w sprawie „Zasad techniki prawodawczej” (Dz. U. z </w:t>
            </w:r>
            <w:r w:rsidR="00A46430"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20</w:t>
            </w:r>
            <w:r w:rsidR="00A46430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A46430"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6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r. </w:t>
            </w:r>
            <w:proofErr w:type="spellStart"/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poz</w:t>
            </w:r>
            <w:proofErr w:type="spellEnd"/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. </w:t>
            </w:r>
            <w:r w:rsidR="00A46430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300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) stanowi, że nie nowelizuje się aktu wykonawczego zachowanego czasowo w mocy przez nową ustawę, chyba że ustawa ta wyraźnie przewiduje taką możliwość. Z uwagi na powyższe, aby wprowadzić proponowane rozwiązania oraz zapewnić ciągłość funkcjonowania rejestru niezbędne jest wydanie nowego rozporządzenia.</w:t>
            </w:r>
          </w:p>
        </w:tc>
      </w:tr>
      <w:tr w:rsidR="00D71DA0" w:rsidRPr="00D71DA0" w14:paraId="5ECEAF59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29453353" w14:textId="21E82AC3" w:rsidR="00D71DA0" w:rsidRPr="00D71DA0" w:rsidRDefault="00D71DA0" w:rsidP="5299995C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5299995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Rekomendowane rozwiązanie, w tym planowane narzędzia </w:t>
            </w:r>
            <w:r w:rsidR="491DE070" w:rsidRPr="5299995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2"/>
                <w:szCs w:val="22"/>
              </w:rPr>
              <w:t>interwencji</w:t>
            </w:r>
            <w:r w:rsidRPr="5299995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i oczekiwany efekt</w:t>
            </w:r>
          </w:p>
        </w:tc>
      </w:tr>
      <w:tr w:rsidR="00D71DA0" w:rsidRPr="00D71DA0" w14:paraId="4D52CBF7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</w:tcPr>
          <w:p w14:paraId="2877CD97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Rozwiązaniem powyższych problemów jest dalsze funkcjonowanie rejestru endoprotezoplastyk. </w:t>
            </w:r>
          </w:p>
          <w:p w14:paraId="1716F44C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Dalsze prowadzenie rejestru pozwoli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eastAsia="pl-PL" w:bidi="pl-PL"/>
                <w14:ligatures w14:val="none"/>
              </w:rPr>
              <w:t>na:</w:t>
            </w:r>
          </w:p>
          <w:p w14:paraId="66A6C44D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prowadzenie analiz statystycznych dotyczących m.in.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liczby wykonanych poszczególnych endoprotez stawowych w danym okresie, liczby występujących powikłań, liczby i rodzajów najczęściej wszczepianych elementów, wskazanie świadczeniodawców, którzy wszczepiają najwięcej poszczególnych endoprotez, wskazanie świadczeniodawców, którzy wykonują zabiegi rewizyjne wraz z liczbą zabiegów, porównanie danych dla jednego województwa, dla kilku jak i dla całego kraju, przedstawienie migracji pacjentów między województwami w celu uzyskania świadczenia endoprotezoplastyki, określenie liczby i rodzajów endoprotez;</w:t>
            </w:r>
          </w:p>
          <w:p w14:paraId="26C59CC2" w14:textId="2B6824E0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obserwację skuteczności implantacji, a przede wszystkim okresy użyteczności poszczególnych rodzajów i typów endoprotez</w:t>
            </w:r>
            <w:r w:rsidR="0066172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;</w:t>
            </w:r>
          </w:p>
          <w:p w14:paraId="061B8FB4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prowadzenia analiz efektywności danych typów endoprotez w odniesieniu np. do wieku, rozpoznania;</w:t>
            </w:r>
          </w:p>
          <w:p w14:paraId="6A649BF8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prowadzenie analiz pozwalających na podejmowanie optymalnych decyzji związanych z leczeniem chorych;</w:t>
            </w:r>
          </w:p>
          <w:p w14:paraId="30C0600C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podnoszenie standardów leczenia;</w:t>
            </w:r>
          </w:p>
          <w:p w14:paraId="5F3175DD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poprawę jakości i zakresu odpowiednich danych dotyczących operacji wymiany stawu w celu wczesnego ostrzegania o kwestiach związanych z bezpieczeństwem pacjentów;</w:t>
            </w:r>
          </w:p>
          <w:p w14:paraId="07838065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planowanie przez usługodawców zakupu wyrobów medycznych, które dzięki analizom prowadzonym w rejestrze wpłyną na optymalizację zakupów wysokiej jakości implantów.</w:t>
            </w:r>
          </w:p>
          <w:p w14:paraId="5EFB45C8" w14:textId="50090812" w:rsidR="00D71DA0" w:rsidRDefault="1420CEF0" w:rsidP="004B6FD8">
            <w:pPr>
              <w:spacing w:after="0" w:line="240" w:lineRule="auto"/>
              <w:jc w:val="both"/>
            </w:pP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Wysoka jakość danych zapewni wysokie prawdopodobieństwo poprawności wniosków wyciąganych na podstawie zebranych informacji, a tym samym racjonalne podstawy do podejmowania decyzji kształtujących politykę zdrowotną</w:t>
            </w:r>
            <w:r w:rsidR="004B6FD8">
              <w:br/>
            </w:r>
            <w:r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i finansową w obszarze endoprotezoplastyki.</w:t>
            </w:r>
          </w:p>
          <w:p w14:paraId="0F1B9E2F" w14:textId="4184AAAD" w:rsidR="0BE9357E" w:rsidRDefault="0BE9357E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14:paraId="5457BBAA" w14:textId="3692BD77" w:rsidR="00054145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Projektowane rozporządzenie zakłada wprowadzenie zmian poprzez:</w:t>
            </w:r>
          </w:p>
          <w:p w14:paraId="410FE0CC" w14:textId="3CE6DE08" w:rsidR="00054145" w:rsidRPr="00A76A61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1) brak wymogu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przekazywani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do rejestru endoprotezoplastyk danych dotyczących badań sekcyjnych wszczepionej endoprotezy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 co w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ynika z braku konieczności wykonywania takich badań w praktyce medycznej, co sprawia, że raportowanie danych ich dotyczących jest niezasadne i nieprzydatne dla celów monitoringu jakości leczenia oraz skuteczności procedur endoprotezoplastyki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0B8C2F7C" w14:textId="35663BFF" w:rsidR="00054145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2) brak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obowiązku raportowania informacji o przedoperacyjnych czynnikach ryzyka umożliwiających kalkulacje skali ryzyka według wybranej i obowiązującej w rejestrze klasyfikacji, celem eliminacji potencjalnej niejednoznaczności co do zakresu czynników</w:t>
            </w:r>
            <w:r w:rsidR="64468309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64468309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co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pozwala na zawężenie zakresu danych gromadzonych w rejestrze do przedoperacyjnych czynników ryzyka. Celem działania jest także pozostawienie sposobu wskazywania przedoperacyjnych czynników ryzyka po stronie podmiotu prowadzącego rejestr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52242E3B" w14:textId="33D3AA1F" w:rsidR="003840FC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3)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brak wymogu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przekazywania przez usługodawców informacji o produktach leczniczych</w:t>
            </w:r>
            <w:r w:rsidR="43D3701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przyjmowanych przez usługobiorcę przed przyjęciem do szpitala w związku z chorobami przewlekłymi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,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stosowanych w trakcie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hospitalizacji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zleconych przy wypisie oraz o dalszych planach i zaleceniach po wypisie obejmujących diagnostykę, leczenie i rehabilitację. </w:t>
            </w:r>
          </w:p>
          <w:p w14:paraId="2BF08E6A" w14:textId="18AC80FA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4)</w:t>
            </w:r>
            <w:r w:rsidRPr="00ED1488">
              <w:t xml:space="preserve">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wskazan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ie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obowiąz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ku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przetwarzania informacji o przedoperacyjnych czynnikach ryzyka. Przetwarzanie informacji w tej formie pozwala na jednoznaczną i precyzyjną interpretację oraz eliminuje potencjalne niejednoznaczności odnośnie do zakresu czynników objętych przepisem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5B57ABC4" w14:textId="603E6C83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5)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uszczegółowi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enie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 że w rejestrze przetwarza się dane i identyfikatory obejmujące jednostkowe dane medyczne dotyczące usługobiorców w postaci kodu rozpoznania głównego oraz nie więcej niż trzech najważniejszych przyczyn współistniejących według Międzynarodowej Statystycznej Klasyfikacji Chorób i Problemów Zdrowotnych ICD-10, a także kody zrealizowanych istotnych procedur medycznych według Międzynarodowej Klasyfikacji Procedur Medycznych ICD-9 PL CM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41345722" w14:textId="66D36DC3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6)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obowiązek przetwarzania informacji o ryzyku operacyjnym wyrażonym skalą American </w:t>
            </w:r>
            <w:proofErr w:type="spellStart"/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Society</w:t>
            </w:r>
            <w:proofErr w:type="spellEnd"/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of </w:t>
            </w:r>
            <w:proofErr w:type="spellStart"/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Anesthesiologists</w:t>
            </w:r>
            <w:proofErr w:type="spellEnd"/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(ASA), która ocenia ryzyko operacyjne związane z wystąpieniem poważnych powikłań w trakcie zabiegu lub po jego przeprowadzeniu oraz umożliwia lepszą ocenę wyników pooperacyjnych, poprzez precyzyjną ocenę stanu pacjenta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; </w:t>
            </w:r>
          </w:p>
          <w:p w14:paraId="5A461C96" w14:textId="1A071C9E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7)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obowiązek przetwarzania danych dotyczących typu i średnicy artykulacji – w przypadku świadczeń pierwotnej i rewizyjnej endoprotezoplastyki stawu biodrowego, </w:t>
            </w:r>
            <w:r w:rsidR="59326567"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kolanowego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ramiennego i łokciowego. Uzyskanie powyżej wskazanych informacji pozwoli określić prawidłowość stosowanej artykulacji, która ma znaczący wpływ na powstawanie powikłań pooperacyjnych.</w:t>
            </w:r>
          </w:p>
          <w:p w14:paraId="6EC54E29" w14:textId="366AE68D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8)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wprowadzenie w </w:t>
            </w:r>
            <w:r w:rsidRPr="0070424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§ </w:t>
            </w:r>
            <w:r w:rsidR="00751D50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6</w:t>
            </w:r>
            <w:r w:rsidRPr="00704247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pkt 3 lit. s</w:t>
            </w:r>
            <w:r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obowiązku raportowania informacji o powikłaniach po zabiegach endoprotezoplastyk stawowych w trakcie hospitalizacji</w:t>
            </w:r>
            <w:r w:rsidR="59326567"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;</w:t>
            </w:r>
          </w:p>
          <w:p w14:paraId="5334EE4A" w14:textId="76F1938B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9)</w:t>
            </w:r>
            <w:r w:rsidR="5ABCC9F4"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przetwarzanie danych w postaci wyniku badania bakteriologicznego po </w:t>
            </w:r>
            <w:proofErr w:type="spellStart"/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sonikacji</w:t>
            </w:r>
            <w:proofErr w:type="spellEnd"/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usuniętej endoprotezy, jeżeli przeprowadzono takie badanie. Treść przepisu w proponowanym brzmieniu pozwoli na wprowadzenie dodatkowych informacji o patogenie powodującym zapalenie </w:t>
            </w:r>
            <w:proofErr w:type="spellStart"/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okołoprotezowe</w:t>
            </w:r>
            <w:proofErr w:type="spellEnd"/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do rejestru endoprotezoplastyk, co jest bardzo istotne dla monitorowania powikłań infekcyjnych po endoprotezoplastykach.</w:t>
            </w:r>
          </w:p>
          <w:p w14:paraId="41EB6F10" w14:textId="7963918A" w:rsidR="00ED1488" w:rsidRPr="00103789" w:rsidRDefault="43D37012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1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0) </w:t>
            </w:r>
            <w:r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przetwarzanie informacji o użyciu ramienia </w:t>
            </w:r>
            <w:proofErr w:type="spellStart"/>
            <w:r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robotycznego</w:t>
            </w:r>
            <w:proofErr w:type="spellEnd"/>
            <w:r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lub nawigacji w przypadku świadczeń pierwotnej i rewizyjnej endoprotezoplastyki stawu biodrowego i kolanowego. Przetwarzanie informacji o zastosowaniu robota lub nawigacji pozwoli monitorować wzrost ilościowy endoprotez wykonywanych w ten sposób oraz umożliwi ich porównywanie z endoprotezami wykonywanymi be</w:t>
            </w:r>
            <w:r w:rsidR="00CC3022"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 pomocy robota i nawigacji.</w:t>
            </w:r>
          </w:p>
          <w:p w14:paraId="762039B5" w14:textId="3D2FCDA9" w:rsidR="008C7250" w:rsidRPr="00D71DA0" w:rsidRDefault="00CC302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Jednocześnie, rejestr jest prowadzony z wykorzystaniem systemu teleinformatycznego, do którego przekazują dane wskazani </w:t>
            </w:r>
            <w:r w:rsidRPr="00704247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w </w:t>
            </w:r>
            <w:r w:rsidRPr="0070424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§ </w:t>
            </w:r>
            <w:r w:rsidR="00751D5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usługodawcy</w:t>
            </w:r>
            <w:r w:rsidRPr="00704247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</w:tr>
      <w:tr w:rsidR="00D71DA0" w:rsidRPr="00D71DA0" w14:paraId="2DE2DF3B" w14:textId="77777777" w:rsidTr="007B0C46">
        <w:trPr>
          <w:gridAfter w:val="1"/>
          <w:wAfter w:w="10" w:type="dxa"/>
          <w:trHeight w:val="307"/>
          <w:jc w:val="center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7C679C4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2"/>
                <w:szCs w:val="22"/>
                <w14:ligatures w14:val="none"/>
              </w:rPr>
              <w:lastRenderedPageBreak/>
              <w:t>Jak problem został rozwiązany w innych krajach, w szczególności krajach członkowskich OECD/UE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  <w:r w:rsidRPr="00D71DA0">
              <w:rPr>
                <w:rFonts w:ascii="Times New Roman" w:eastAsia="Calibri" w:hAnsi="Times New Roman" w:cs="Times New Roman"/>
                <w:i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D71DA0" w:rsidRPr="00D71DA0" w14:paraId="0402D59C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</w:tcPr>
          <w:p w14:paraId="66252E53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Problem braku narzędzi do gromadzenia danych pozwalających na monitorowanie jakości świadczeń opieki zdrowotnej, efektywności technologii medycznych i kosztów jest rozwiązany w innych krajach przez tworzenie rejestrów medycznych.</w:t>
            </w:r>
          </w:p>
          <w:p w14:paraId="3B6F06CF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Przykładowymi rejestrami endoprotez w innych krajach są w:</w:t>
            </w:r>
          </w:p>
          <w:p w14:paraId="2D65192E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>Wielkiej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>Brytanii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 xml:space="preserve"> –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  <w:t>The National Joint Registry (NJR) for England, Wales, Northern Ireland and the Isle of Man.</w:t>
            </w:r>
          </w:p>
          <w:p w14:paraId="1A83B55B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powstał w 2002 r. w celu monitorowania operacji wszczepienia endoprotez i wymiany implantów (co najmniej dane dotyczące liczby operacji), monitorowania efektywności stosowanych procedur chirurgicznych, poprawy standardu świadczeń wszczepienia i wymiany implantów. Rejestr jest wykorzystywany również do kalkulowania taryf za operacje wszczepienia lub wymiany implantów stawów biodrowych i kolanowych.</w:t>
            </w:r>
          </w:p>
          <w:p w14:paraId="49D12E03" w14:textId="16242594" w:rsidR="004B6FD8" w:rsidRPr="00D71DA0" w:rsidRDefault="1420CEF0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gromadzi informacje o wszystkich operacjach wymiany stawów biodrowych, kolanowych, łokciowych</w:t>
            </w:r>
            <w:r w:rsidR="13047972"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i barkowych.</w:t>
            </w:r>
          </w:p>
          <w:p w14:paraId="78DF0DA4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Szwecji –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Swedish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Knee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Arthroplasty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 Register</w:t>
            </w:r>
          </w:p>
          <w:p w14:paraId="201B43A4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powstał w 1975 r. Rejestr początkowo obejmował operacje stawów kolanowych a następnie był rozszerzany (stawy biodrowe od 1979).</w:t>
            </w:r>
          </w:p>
          <w:p w14:paraId="50FEB62E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gromadzi dane epidemiologiczne, a także dane dotyczące operacji wszczepienia i wymiany implantów, jakości używanych implantów, jakości stosowanych procedur, wyników leczenia w perspektywie 90 dni, kosztów ponoszonych w związku z operacjami. Rejestr prowadzony jest w celu poprawy jakości świadczeń opieki zdrowotnej oraz monitorowania efektywności kosztowej stosowanych rozwiązań.</w:t>
            </w:r>
          </w:p>
          <w:p w14:paraId="569FE71D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</w:pP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  <w:t>Kanadzie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  <w:t xml:space="preserve"> – Canadian Joint Replacement Registry (CJRR)</w:t>
            </w:r>
          </w:p>
          <w:p w14:paraId="19B3063B" w14:textId="4F722CA9" w:rsidR="00D71DA0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Rejestr utworzono w 2001 r. W rejestrze gromadzone są dane epidemiologiczne dotyczące wszczepienia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br/>
              <w:t xml:space="preserve">i wymiany implantów, dane kliniczne i dane dotyczące stosowanych implantów. Rejestr gromadzi informacje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br/>
              <w:t>o operacjach stawów kolanowego i biodrowego.</w:t>
            </w:r>
          </w:p>
        </w:tc>
      </w:tr>
      <w:tr w:rsidR="00D71DA0" w:rsidRPr="00D71DA0" w14:paraId="7CAB2CF0" w14:textId="77777777" w:rsidTr="007B0C46">
        <w:trPr>
          <w:gridAfter w:val="1"/>
          <w:wAfter w:w="10" w:type="dxa"/>
          <w:trHeight w:val="359"/>
          <w:jc w:val="center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7BC982C8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Podmioty, na które oddziałuje projekt</w:t>
            </w:r>
          </w:p>
        </w:tc>
      </w:tr>
      <w:tr w:rsidR="00D71DA0" w:rsidRPr="00D71DA0" w14:paraId="1A794546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2291" w:type="dxa"/>
            <w:gridSpan w:val="3"/>
          </w:tcPr>
          <w:p w14:paraId="4DE7DDCF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Grupa</w:t>
            </w:r>
          </w:p>
        </w:tc>
        <w:tc>
          <w:tcPr>
            <w:tcW w:w="2465" w:type="dxa"/>
            <w:gridSpan w:val="8"/>
          </w:tcPr>
          <w:p w14:paraId="53353A52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Wielkość</w:t>
            </w:r>
          </w:p>
        </w:tc>
        <w:tc>
          <w:tcPr>
            <w:tcW w:w="3141" w:type="dxa"/>
            <w:gridSpan w:val="12"/>
          </w:tcPr>
          <w:p w14:paraId="3C0B39C0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Źródło danych</w:t>
            </w:r>
            <w:r w:rsidRPr="00D71DA0" w:rsidDel="00260F33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3038" w:type="dxa"/>
            <w:gridSpan w:val="6"/>
          </w:tcPr>
          <w:p w14:paraId="15B34C0D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Oddziaływanie</w:t>
            </w:r>
          </w:p>
        </w:tc>
      </w:tr>
      <w:tr w:rsidR="00D71DA0" w:rsidRPr="00D71DA0" w14:paraId="76466961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2291" w:type="dxa"/>
            <w:gridSpan w:val="3"/>
          </w:tcPr>
          <w:p w14:paraId="39634A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pacjenci</w:t>
            </w:r>
          </w:p>
        </w:tc>
        <w:tc>
          <w:tcPr>
            <w:tcW w:w="2465" w:type="dxa"/>
            <w:gridSpan w:val="8"/>
          </w:tcPr>
          <w:p w14:paraId="313D236F" w14:textId="0F87A22C" w:rsidR="00D71DA0" w:rsidRPr="00D71DA0" w:rsidRDefault="00145545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145545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117338</w:t>
            </w:r>
            <w:r w:rsidR="00874E9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przeprowadzonych </w:t>
            </w:r>
            <w:r w:rsidR="00D71DA0"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endoprotezoplastyk (dane z 202</w:t>
            </w: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4</w:t>
            </w:r>
            <w:r w:rsidR="00D71DA0"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 r.) </w:t>
            </w:r>
          </w:p>
        </w:tc>
        <w:tc>
          <w:tcPr>
            <w:tcW w:w="3141" w:type="dxa"/>
            <w:gridSpan w:val="12"/>
          </w:tcPr>
          <w:p w14:paraId="1012F187" w14:textId="77777777" w:rsidR="00D71DA0" w:rsidRDefault="00145545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arodowy Fundusz Zdrowia </w:t>
            </w:r>
          </w:p>
          <w:p w14:paraId="118536EA" w14:textId="3F320C39" w:rsidR="004B6FD8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(NFZ) </w:t>
            </w:r>
          </w:p>
        </w:tc>
        <w:tc>
          <w:tcPr>
            <w:tcW w:w="3038" w:type="dxa"/>
            <w:gridSpan w:val="6"/>
          </w:tcPr>
          <w:p w14:paraId="3E985D77" w14:textId="7BDF377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przez uzyskanie danych o jakości oraz skuteczności stosowanych technologii medycznych i w następstwie dzięki eliminowaniu najgorszych rozwiązań i promowaniu lepszych zostanie podniesiona jakość endoprotezoplastyki</w:t>
            </w:r>
          </w:p>
        </w:tc>
      </w:tr>
      <w:tr w:rsidR="00D71DA0" w:rsidRPr="00D71DA0" w14:paraId="04FED258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2291" w:type="dxa"/>
            <w:gridSpan w:val="3"/>
          </w:tcPr>
          <w:p w14:paraId="0645B59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podmioty zobowiązane do przekazywania danych</w:t>
            </w:r>
          </w:p>
        </w:tc>
        <w:tc>
          <w:tcPr>
            <w:tcW w:w="2465" w:type="dxa"/>
            <w:gridSpan w:val="8"/>
          </w:tcPr>
          <w:p w14:paraId="3B530A9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Co najmniej 300</w:t>
            </w:r>
          </w:p>
        </w:tc>
        <w:tc>
          <w:tcPr>
            <w:tcW w:w="3141" w:type="dxa"/>
            <w:gridSpan w:val="12"/>
          </w:tcPr>
          <w:p w14:paraId="7BC9FBF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NFZ</w:t>
            </w:r>
          </w:p>
        </w:tc>
        <w:tc>
          <w:tcPr>
            <w:tcW w:w="3038" w:type="dxa"/>
            <w:gridSpan w:val="6"/>
          </w:tcPr>
          <w:p w14:paraId="0ED382DB" w14:textId="0526D70A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podmioty będą musiały przekazywać informacje.</w:t>
            </w:r>
          </w:p>
          <w:p w14:paraId="634FBC7C" w14:textId="3E14583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Możliwa stymulacja konkurencji między ośrodkami zajmującymi się leczeniem</w:t>
            </w:r>
          </w:p>
        </w:tc>
      </w:tr>
      <w:tr w:rsidR="00D71DA0" w:rsidRPr="00D71DA0" w14:paraId="3CBF7AE0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2291" w:type="dxa"/>
            <w:gridSpan w:val="3"/>
          </w:tcPr>
          <w:p w14:paraId="3ED81FA8" w14:textId="0F6595A6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administracja finansowa związana z ochroną zdrowia – Ministerstwo Zdrowia, NFZ, Agencja Oceny Technologii Medycznych i Taryfikacji (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AOTMiT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), Centrum Monitorowania Jakości w Ochronie Zdrowia, świadczeniodawcy wykonujące świadczenia endoprotezoplastyki</w:t>
            </w:r>
          </w:p>
        </w:tc>
        <w:tc>
          <w:tcPr>
            <w:tcW w:w="2465" w:type="dxa"/>
            <w:gridSpan w:val="8"/>
          </w:tcPr>
          <w:p w14:paraId="044357E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około 318</w:t>
            </w:r>
          </w:p>
        </w:tc>
        <w:tc>
          <w:tcPr>
            <w:tcW w:w="3141" w:type="dxa"/>
            <w:gridSpan w:val="12"/>
          </w:tcPr>
          <w:p w14:paraId="268F498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NFZ</w:t>
            </w:r>
          </w:p>
        </w:tc>
        <w:tc>
          <w:tcPr>
            <w:tcW w:w="3038" w:type="dxa"/>
            <w:gridSpan w:val="6"/>
          </w:tcPr>
          <w:p w14:paraId="620389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lepsze zarządzanie publicznymi funduszami, biorące pod uwagę jakość oraz skuteczność stosowanych technologii medycznych</w:t>
            </w:r>
          </w:p>
        </w:tc>
      </w:tr>
      <w:tr w:rsidR="00D71DA0" w:rsidRPr="00D71DA0" w14:paraId="712BFBF5" w14:textId="77777777" w:rsidTr="007B0C46">
        <w:trPr>
          <w:gridAfter w:val="1"/>
          <w:wAfter w:w="10" w:type="dxa"/>
          <w:trHeight w:val="302"/>
          <w:jc w:val="center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18D9A8C3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Informacje na temat zakresu, czasu trwania i podsumowanie wyników konsultacji</w:t>
            </w:r>
          </w:p>
        </w:tc>
      </w:tr>
      <w:tr w:rsidR="00D71DA0" w:rsidRPr="00D71DA0" w14:paraId="67AD74AD" w14:textId="77777777" w:rsidTr="007B0C46">
        <w:trPr>
          <w:gridAfter w:val="1"/>
          <w:wAfter w:w="10" w:type="dxa"/>
          <w:trHeight w:val="342"/>
          <w:jc w:val="center"/>
        </w:trPr>
        <w:tc>
          <w:tcPr>
            <w:tcW w:w="10935" w:type="dxa"/>
            <w:gridSpan w:val="29"/>
            <w:shd w:val="clear" w:color="auto" w:fill="FFFFFF" w:themeFill="background1"/>
          </w:tcPr>
          <w:p w14:paraId="0BE95B63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Projekt nie był przedmiotem </w:t>
            </w:r>
            <w:proofErr w:type="spellStart"/>
            <w:r w:rsidRPr="00D71DA0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  <w:t>pre</w:t>
            </w:r>
            <w:proofErr w:type="spellEnd"/>
            <w:r w:rsidRPr="00D71DA0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  <w:t>-konsultacji.</w:t>
            </w:r>
          </w:p>
          <w:p w14:paraId="1263A901" w14:textId="019639AE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Projekt rozporządzenia zosta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skierowany w ramach konsultacji publicznych i opiniowania, z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21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-dniowym terminem na zgłaszanie uwag, do:</w:t>
            </w:r>
          </w:p>
          <w:p w14:paraId="14573C2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Lekarskiej;</w:t>
            </w:r>
          </w:p>
          <w:p w14:paraId="71AB146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Pielęgniarek i Położnych;</w:t>
            </w:r>
          </w:p>
          <w:p w14:paraId="6483234D" w14:textId="77777777" w:rsidR="00AD5FD2" w:rsidRPr="00D71DA0" w:rsidRDefault="00AD5FD2" w:rsidP="00AD5FD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Aptekarskiej;</w:t>
            </w:r>
          </w:p>
          <w:p w14:paraId="4B3BBA9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Diagnostów Laboratoryjnych;</w:t>
            </w:r>
          </w:p>
          <w:p w14:paraId="4D73269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Fizjoterapeutów;</w:t>
            </w:r>
          </w:p>
          <w:p w14:paraId="559BB3D0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Rato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ników Medycznych;</w:t>
            </w:r>
          </w:p>
          <w:p w14:paraId="397B25E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Związku Zawodowego Lekarzy;</w:t>
            </w:r>
          </w:p>
          <w:p w14:paraId="4469342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Związku Zawodowego Pielęgniarek i Położnych;</w:t>
            </w:r>
          </w:p>
          <w:p w14:paraId="1303A3D4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Ogólnopolskiego Związku Zawodowego Położnych; </w:t>
            </w:r>
          </w:p>
          <w:p w14:paraId="0DB0AAB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Kolegium Pielęgniarek i Położnych Rodzinnych w Polsce; </w:t>
            </w:r>
          </w:p>
          <w:p w14:paraId="4D914EB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Kolegium Lekarzy Rodzinnych;</w:t>
            </w:r>
          </w:p>
          <w:p w14:paraId="5A85E3C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Stowarzyszenia Szpitali Prywatnych;</w:t>
            </w:r>
          </w:p>
          <w:p w14:paraId="5D810C1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Stowarzyszenia Dyrektorów Szpitali Klinicznych;</w:t>
            </w:r>
          </w:p>
          <w:p w14:paraId="3AB96EF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Stowarzyszenia Menadżerów Opieki Zdrowotnej STOMOZ;</w:t>
            </w:r>
          </w:p>
          <w:p w14:paraId="76E23AA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Zrzeszenia Szpitali Akredytowanych;</w:t>
            </w:r>
          </w:p>
          <w:p w14:paraId="5FF081A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Izby Lecznictwa Polskiego;</w:t>
            </w:r>
          </w:p>
          <w:p w14:paraId="28AB39B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Unii Szpitali Klinicznych;</w:t>
            </w:r>
          </w:p>
          <w:p w14:paraId="4BD2DF7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Federacji Pracodawców Ochrony Zdrowia;</w:t>
            </w:r>
          </w:p>
          <w:p w14:paraId="73D420A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Forum Związków Zawodowych;</w:t>
            </w:r>
          </w:p>
          <w:p w14:paraId="2BF5EF54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Federacji Związków Zawodowych Pracowników Ochrony Zdrowia;</w:t>
            </w:r>
          </w:p>
          <w:p w14:paraId="14EB2DC7" w14:textId="2E35804E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NSZZ „Solidarność - 80</w:t>
            </w:r>
            <w:r w:rsidR="0074549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”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; </w:t>
            </w:r>
          </w:p>
          <w:p w14:paraId="4A697D22" w14:textId="77777777" w:rsidR="00AD5FD2" w:rsidRPr="00D71DA0" w:rsidRDefault="00AD5FD2" w:rsidP="00AD5FD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NSZZ „Solidarność”;</w:t>
            </w:r>
          </w:p>
          <w:p w14:paraId="1D47F0FB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Ogólnopolskiej Konfederacji Związków Zawodowych Pracowników Ochrony Zdrowia;</w:t>
            </w:r>
          </w:p>
          <w:p w14:paraId="6BF47DCF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Porozumienia Związków Zawodowych;</w:t>
            </w:r>
          </w:p>
          <w:p w14:paraId="086D9EB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Federacji Związków Pracodawców Ochrony Zdrowia „Porozumienie Zielonogórskie”; </w:t>
            </w:r>
          </w:p>
          <w:p w14:paraId="706EDF31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lastRenderedPageBreak/>
              <w:t>Federacji Przedsiębiorców Polskich;</w:t>
            </w:r>
          </w:p>
          <w:p w14:paraId="68755FA6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Ogólnopolskiego Związku Pracodawców Samodzielnych Publicznych Szpitali Klinicznych; </w:t>
            </w:r>
          </w:p>
          <w:p w14:paraId="79E33F1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Stowarzyszenia Szpitali Prywatnych;</w:t>
            </w:r>
          </w:p>
          <w:p w14:paraId="1DF842C1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Związku Rzemiosła Polskiego;</w:t>
            </w:r>
          </w:p>
          <w:p w14:paraId="5825A11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Konfederacji „Lewiatan”; </w:t>
            </w:r>
          </w:p>
          <w:p w14:paraId="36A17A98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Związku Pracodawców Business Centre Club; </w:t>
            </w:r>
          </w:p>
          <w:p w14:paraId="6BE8FC7F" w14:textId="77777777" w:rsidR="004B6FD8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Związku Przedsiębiorców i Pracodawców; </w:t>
            </w:r>
          </w:p>
          <w:p w14:paraId="642B87D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Polskiego Towarzystwa Gospodarczego;</w:t>
            </w:r>
          </w:p>
          <w:p w14:paraId="750694DF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Federacji Pracodawców Ochrony Zdrowia;</w:t>
            </w:r>
          </w:p>
          <w:p w14:paraId="188A2C7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Rady Organizacji Pacjentów przy ministrze właściwym do spraw zdrowia; </w:t>
            </w:r>
          </w:p>
          <w:p w14:paraId="07D7C79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Konferencji Rektorów Akademickich Uczelni Medycznych;</w:t>
            </w:r>
          </w:p>
          <w:p w14:paraId="7C10ABD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Instytutu Praw Pacjenta i Edukacji Zdrowotnej;</w:t>
            </w:r>
          </w:p>
          <w:p w14:paraId="269D5BF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Polskiego Towarzystwa Prawa Medycznego;</w:t>
            </w:r>
          </w:p>
          <w:p w14:paraId="7DDD7B6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Pracodawców Rzeczypospolitej Polskiej;</w:t>
            </w:r>
          </w:p>
          <w:p w14:paraId="34D4F1F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Komisji Wspólnej Rządu i Samorządu Terytorialnego;</w:t>
            </w:r>
          </w:p>
          <w:p w14:paraId="68547E9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Rady Dialogu Społecznego;</w:t>
            </w:r>
          </w:p>
          <w:p w14:paraId="0C89D84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Urzędu Ochrony Konkurencji i Konsumentów;</w:t>
            </w:r>
          </w:p>
          <w:p w14:paraId="1F3AD8B6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Urzędu Ochrony Danych Osobowych;</w:t>
            </w:r>
          </w:p>
          <w:p w14:paraId="2F988B7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Narodowego Funduszu Zdrowia;</w:t>
            </w:r>
          </w:p>
          <w:p w14:paraId="0A2A594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Agencji Oceny Technologii Medycznych i Taryfikacji;</w:t>
            </w:r>
          </w:p>
          <w:p w14:paraId="15AFA980" w14:textId="77777777" w:rsidR="004B6FD8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Rzecznika Praw Pacjenta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63F1662F" w14:textId="0EE3AF81" w:rsidR="00F55523" w:rsidRPr="00D71DA0" w:rsidRDefault="00F55523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Rzecznika Małych i Średnich Przedsiębiorców;</w:t>
            </w:r>
          </w:p>
          <w:p w14:paraId="0F06498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Konsultantów krajowych w wybranych dziedzinach medycyny:</w:t>
            </w:r>
          </w:p>
          <w:p w14:paraId="7F3F7217" w14:textId="0D152E19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a) </w:t>
            </w:r>
            <w:r w:rsidR="004B6FD8"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d</w:t>
            </w:r>
            <w:r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r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.</w:t>
            </w:r>
            <w:r w:rsidR="004B6FD8"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 hab. n. med.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Jarosława Czubaka –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ortopedi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 traumatolo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gia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narządu ruchu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</w:p>
          <w:p w14:paraId="4008E972" w14:textId="3AA3B66A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b)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dr.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hab. Jerzego Sieńko </w:t>
            </w:r>
            <w:r w:rsidR="00080895" w:rsidRPr="0008089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–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chirurgia ogólna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</w:p>
          <w:p w14:paraId="30F09574" w14:textId="3599E54A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</w:t>
            </w:r>
            <w:r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c) </w:t>
            </w:r>
            <w:r w:rsidR="004B6FD8"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Prof. dr hab. n. med.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Wojciecha </w:t>
            </w:r>
            <w:proofErr w:type="spellStart"/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Zegarskiego</w:t>
            </w:r>
            <w:proofErr w:type="spellEnd"/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–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chirurgia onkologiczna;</w:t>
            </w:r>
          </w:p>
          <w:p w14:paraId="18A25138" w14:textId="0B6415CB" w:rsidR="004B6FD8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onsultant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krajow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w wybranych dziedzinach mających zastosowanie w ochronie zdrowia (inżyniera medyczna)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:</w:t>
            </w:r>
          </w:p>
          <w:p w14:paraId="26128F29" w14:textId="7D0203D8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Prof. </w:t>
            </w:r>
            <w:r w:rsidR="00EE390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dr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hab. inż. Ewy Zalewskiej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;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310AEC1D" w14:textId="515A7FD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50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Polskie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Stowarzyszeni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Dyrektorów Szpitali;</w:t>
            </w:r>
          </w:p>
          <w:p w14:paraId="0B10F4AC" w14:textId="17E807A5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1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Pracodawcy Medycyny Prywatnej;</w:t>
            </w:r>
          </w:p>
          <w:p w14:paraId="24871FAF" w14:textId="3B7A0DE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Ogólnopolski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Związ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Szpitali Powiatowych;</w:t>
            </w:r>
          </w:p>
          <w:p w14:paraId="6ED75510" w14:textId="5474ED6D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3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Ogólnopolski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Związ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Podmiotów Leczniczych;</w:t>
            </w:r>
          </w:p>
          <w:p w14:paraId="55E73482" w14:textId="24C54E8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4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Porozumieni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Ochrony Zdrowia;</w:t>
            </w:r>
          </w:p>
          <w:p w14:paraId="21D63612" w14:textId="406197E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Polsk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iej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Federacj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i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Szpitali;</w:t>
            </w:r>
          </w:p>
          <w:p w14:paraId="31E51806" w14:textId="7B0C9DF4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Federacj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Pacjentów Polskich;</w:t>
            </w:r>
          </w:p>
          <w:p w14:paraId="3CD75C98" w14:textId="2E148637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7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Fundacj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My Pacjenci;</w:t>
            </w:r>
          </w:p>
          <w:p w14:paraId="2D0818D3" w14:textId="646DA719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8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Wojskow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Instytut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Medyczn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2AAD15D2" w14:textId="5DB04FF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Urzędu Rejestracji Produktów Leczniczych, Wyrobów Medycznych i Produktów Biobójczych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4D2AD17C" w14:textId="4FF95196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60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Konferencj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Rektorów Akademickich Uczelni Medycznych;</w:t>
            </w:r>
          </w:p>
          <w:p w14:paraId="7EB364B9" w14:textId="2ABBB59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1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Główn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Inspektor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Farmaceutyczn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432C15E0" w14:textId="7E315FDA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Główn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Inspektor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Sanitarn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.</w:t>
            </w:r>
          </w:p>
          <w:p w14:paraId="165AF7FA" w14:textId="36D5F073" w:rsidR="002403A4" w:rsidRDefault="002403A4" w:rsidP="004F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</w:p>
          <w:p w14:paraId="472032D0" w14:textId="58F4955F" w:rsidR="004D6548" w:rsidRDefault="004D6548" w:rsidP="004F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Skrócenie terminu konsultacji publicznych i opiniowania jest uzasadnione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deregulacyjnym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charakterem projektowanych przepisów oraz </w:t>
            </w:r>
            <w:r w:rsidR="002403A4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korzyściami wynikającymi z wprowadzenia rozwiązań objętych projektem rozporządzenia. </w:t>
            </w:r>
          </w:p>
          <w:p w14:paraId="3121EB8F" w14:textId="40599119" w:rsidR="004F6E49" w:rsidRPr="004F6E49" w:rsidRDefault="004F6E49" w:rsidP="004F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F6E49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Projektowane rozporządzenie nie będzie przedmiotem opiniowania Komisji Wspólnej Rządu i Samorządu Terytorialnego, ponieważ nie dotyczy problematyki samorządu terytorialnego.</w:t>
            </w:r>
          </w:p>
          <w:p w14:paraId="28F3501C" w14:textId="601F4285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Zgodnie z art. 5 ustawy z dnia 7 lipca 2005 r. o działalności lobbingowej w procesie stanowienia prawa (Dz. U. z </w:t>
            </w:r>
            <w:r w:rsidR="00A46430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202</w:t>
            </w:r>
            <w:r w:rsidR="00A4643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 w:rsidR="00A46430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r. poz. </w:t>
            </w:r>
            <w:r w:rsidR="00A4643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936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) projekt rozporządzenia 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zosta</w:t>
            </w:r>
            <w:r w:rsidR="0074549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zamieszczony w Biuletynie Informacji Publicznej na stronie podmiotowej Ministerstwa Zdrowia.</w:t>
            </w:r>
          </w:p>
          <w:p w14:paraId="195508E8" w14:textId="6A0AF22F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Projekt rozporządzenia 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zosta</w:t>
            </w:r>
            <w:r w:rsidR="0074549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również udostępniony w Biuletynie Informacji Publicznej na stronie podmiotowej Rządowego Centrum Legislacji, w serwisie Rządowy Proces Legislacyjny, zgodnie z § 52 ust. 1 uchwały nr 190 Rady Ministrów z dnia 29 października 2013 r. – Regulamin pracy Rady Ministrów (M.</w:t>
            </w:r>
            <w:r w:rsidR="00F506C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P. z 2024 r. poz. 806</w:t>
            </w:r>
            <w:r w:rsidR="00C63B7A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, z </w:t>
            </w:r>
            <w:proofErr w:type="spellStart"/>
            <w:r w:rsidR="00C63B7A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późn</w:t>
            </w:r>
            <w:proofErr w:type="spellEnd"/>
            <w:r w:rsidR="00C63B7A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. zm.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).</w:t>
            </w:r>
          </w:p>
          <w:p w14:paraId="1E92254B" w14:textId="4BF259EB" w:rsidR="00D71DA0" w:rsidRPr="00D71DA0" w:rsidRDefault="004B6FD8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Wyniki konsultacji publicznych i opiniowania zostaną przedstawione w raporcie z konsultacji publicznych i opiniowania, który zostanie załączony do OSR.</w:t>
            </w:r>
          </w:p>
        </w:tc>
      </w:tr>
      <w:tr w:rsidR="00D71DA0" w:rsidRPr="00D71DA0" w14:paraId="3FB98277" w14:textId="77777777" w:rsidTr="007B0C46">
        <w:trPr>
          <w:gridAfter w:val="1"/>
          <w:wAfter w:w="10" w:type="dxa"/>
          <w:trHeight w:val="363"/>
          <w:jc w:val="center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0462072A" w14:textId="555F958F" w:rsidR="00D71DA0" w:rsidRPr="00D71DA0" w:rsidRDefault="7F1451D4" w:rsidP="0BE9357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BE9357E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 </w:t>
            </w:r>
            <w:r w:rsidR="00704247" w:rsidRPr="0070424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Wpływ na sektor finansów publicznych</w:t>
            </w:r>
          </w:p>
        </w:tc>
      </w:tr>
      <w:tr w:rsidR="00D71DA0" w:rsidRPr="00D71DA0" w14:paraId="1E71689B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2756" w:type="dxa"/>
            <w:gridSpan w:val="4"/>
            <w:vMerge w:val="restart"/>
            <w:shd w:val="clear" w:color="auto" w:fill="FFFFFF" w:themeFill="background1"/>
          </w:tcPr>
          <w:p w14:paraId="4ACEEF83" w14:textId="77777777" w:rsidR="00D71DA0" w:rsidRPr="00D71DA0" w:rsidRDefault="00D71DA0" w:rsidP="00D71DA0">
            <w:pPr>
              <w:spacing w:before="40" w:after="40" w:line="276" w:lineRule="auto"/>
              <w:rPr>
                <w:rFonts w:ascii="Times New Roman" w:eastAsia="Calibri" w:hAnsi="Times New Roman" w:cs="Times New Roman"/>
                <w:i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(ceny stałe z 2025 r.)</w:t>
            </w:r>
          </w:p>
        </w:tc>
        <w:tc>
          <w:tcPr>
            <w:tcW w:w="8179" w:type="dxa"/>
            <w:gridSpan w:val="25"/>
            <w:shd w:val="clear" w:color="auto" w:fill="FFFFFF" w:themeFill="background1"/>
          </w:tcPr>
          <w:p w14:paraId="7FC75E16" w14:textId="77777777" w:rsidR="00D71DA0" w:rsidRPr="00D71DA0" w:rsidRDefault="00D71DA0" w:rsidP="00D71DA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Skutki w okresie 10 lat od wejścia w życie zmian [mln zł]</w:t>
            </w:r>
          </w:p>
        </w:tc>
      </w:tr>
      <w:tr w:rsidR="00D71DA0" w:rsidRPr="00D71DA0" w14:paraId="5373CDA2" w14:textId="77777777" w:rsidTr="00AF02C6">
        <w:trPr>
          <w:gridAfter w:val="1"/>
          <w:wAfter w:w="10" w:type="dxa"/>
          <w:trHeight w:val="142"/>
          <w:jc w:val="center"/>
        </w:trPr>
        <w:tc>
          <w:tcPr>
            <w:tcW w:w="2756" w:type="dxa"/>
            <w:gridSpan w:val="4"/>
            <w:vMerge/>
          </w:tcPr>
          <w:p w14:paraId="7FC6CA76" w14:textId="77777777" w:rsidR="00D71DA0" w:rsidRPr="00D71DA0" w:rsidRDefault="00D71DA0" w:rsidP="00D71DA0">
            <w:pPr>
              <w:spacing w:before="40" w:after="40" w:line="240" w:lineRule="auto"/>
              <w:rPr>
                <w:rFonts w:ascii="Times New Roman" w:eastAsia="Calibri" w:hAnsi="Times New Roman" w:cs="Times New Roman"/>
                <w:i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83" w:type="dxa"/>
            <w:gridSpan w:val="3"/>
            <w:shd w:val="clear" w:color="auto" w:fill="FFFFFF" w:themeFill="background1"/>
          </w:tcPr>
          <w:p w14:paraId="08520E00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373" w:type="dxa"/>
            <w:shd w:val="clear" w:color="auto" w:fill="FFFFFF" w:themeFill="background1"/>
          </w:tcPr>
          <w:p w14:paraId="4EEFD6AA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620B083B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C479C6B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2489EA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570" w:type="dxa"/>
            <w:shd w:val="clear" w:color="auto" w:fill="FFFFFF" w:themeFill="background1"/>
          </w:tcPr>
          <w:p w14:paraId="76FBF23D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A89127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3796F07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494FC9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2AC3A5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570" w:type="dxa"/>
            <w:shd w:val="clear" w:color="auto" w:fill="FFFFFF" w:themeFill="background1"/>
          </w:tcPr>
          <w:p w14:paraId="344759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1594" w:type="dxa"/>
            <w:gridSpan w:val="2"/>
            <w:shd w:val="clear" w:color="auto" w:fill="FFFFFF" w:themeFill="background1"/>
          </w:tcPr>
          <w:p w14:paraId="303A9BB2" w14:textId="77777777" w:rsidR="00D71DA0" w:rsidRPr="00D71DA0" w:rsidRDefault="00D71DA0" w:rsidP="00D71DA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Łącznie (0-10)</w:t>
            </w:r>
          </w:p>
        </w:tc>
      </w:tr>
      <w:tr w:rsidR="00D71DA0" w:rsidRPr="00D71DA0" w14:paraId="066E6D65" w14:textId="77777777" w:rsidTr="00AF02C6">
        <w:trPr>
          <w:trHeight w:val="321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1CA4B51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t>Dochody ogółem</w:t>
            </w:r>
          </w:p>
        </w:tc>
        <w:tc>
          <w:tcPr>
            <w:tcW w:w="783" w:type="dxa"/>
            <w:gridSpan w:val="3"/>
            <w:shd w:val="clear" w:color="auto" w:fill="FFFFFF" w:themeFill="background1"/>
          </w:tcPr>
          <w:p w14:paraId="75C4FDA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214349D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2D742E5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D22C8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A644B8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4B1E3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0768792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4DFC91A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D6C8E4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89A449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5146C4D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22FAB13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40AB9523" w14:textId="77777777" w:rsidTr="00AF02C6">
        <w:trPr>
          <w:trHeight w:val="321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556775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budżet państwa</w:t>
            </w:r>
          </w:p>
        </w:tc>
        <w:tc>
          <w:tcPr>
            <w:tcW w:w="783" w:type="dxa"/>
            <w:gridSpan w:val="3"/>
            <w:shd w:val="clear" w:color="auto" w:fill="FFFFFF" w:themeFill="background1"/>
          </w:tcPr>
          <w:p w14:paraId="7D0C4B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5BC07FA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02EEB02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9E839E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D034C0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288C75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453445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972B11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0112F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440F2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AAAE77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397E631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C8A3104" w14:textId="77777777" w:rsidTr="00AF02C6">
        <w:trPr>
          <w:trHeight w:val="344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118533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JST</w:t>
            </w:r>
          </w:p>
        </w:tc>
        <w:tc>
          <w:tcPr>
            <w:tcW w:w="783" w:type="dxa"/>
            <w:gridSpan w:val="3"/>
            <w:shd w:val="clear" w:color="auto" w:fill="FFFFFF" w:themeFill="background1"/>
          </w:tcPr>
          <w:p w14:paraId="3E0C591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7AC3D48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45BDFA5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439C2A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6EC915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4C8FFA2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4A7BFA8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1465FB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3D2A71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3607B9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771203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09EE0D8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182E66E" w14:textId="77777777" w:rsidTr="00AF02C6">
        <w:trPr>
          <w:trHeight w:val="344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C871DA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783" w:type="dxa"/>
            <w:gridSpan w:val="3"/>
            <w:shd w:val="clear" w:color="auto" w:fill="FFFFFF" w:themeFill="background1"/>
          </w:tcPr>
          <w:p w14:paraId="568A4AA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125F4D4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6D24576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6394C7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F36CFB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4CC581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E5BEF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0812154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8C6F4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3ADE68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172CE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2C7AE3D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6866AE3E" w14:textId="77777777" w:rsidTr="00AF02C6">
        <w:trPr>
          <w:trHeight w:val="344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15CEC19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783" w:type="dxa"/>
            <w:gridSpan w:val="3"/>
            <w:shd w:val="clear" w:color="auto" w:fill="FFFFFF" w:themeFill="background1"/>
          </w:tcPr>
          <w:p w14:paraId="37E5CC2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05D6FA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234B0E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16C365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F6D2E1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A8F53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0792631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5F1311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F52C3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8AE83F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A0A4F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18935D1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2E3E313" w14:textId="77777777" w:rsidTr="00AF02C6">
        <w:trPr>
          <w:trHeight w:val="330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4637628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t>Wydatki ogółem</w:t>
            </w:r>
          </w:p>
        </w:tc>
        <w:tc>
          <w:tcPr>
            <w:tcW w:w="783" w:type="dxa"/>
            <w:gridSpan w:val="3"/>
            <w:shd w:val="clear" w:color="auto" w:fill="FFFFFF" w:themeFill="background1"/>
            <w:vAlign w:val="center"/>
          </w:tcPr>
          <w:p w14:paraId="55CBC55C" w14:textId="19D35B6C" w:rsidR="00D71DA0" w:rsidRPr="00D71DA0" w:rsidRDefault="007B0C46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</w:t>
            </w:r>
            <w:r w:rsidR="00B704C3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38</w:t>
            </w:r>
          </w:p>
        </w:tc>
        <w:tc>
          <w:tcPr>
            <w:tcW w:w="373" w:type="dxa"/>
            <w:shd w:val="clear" w:color="auto" w:fill="FFFFFF" w:themeFill="background1"/>
          </w:tcPr>
          <w:p w14:paraId="055F3EFB" w14:textId="6E2E1E6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31FFCD85" w14:textId="37516BA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3D7C32D8" w14:textId="3EDB0A3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B765E7" w14:textId="4670895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6CD3C29" w14:textId="39328DA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A89EAA7" w14:textId="018B0620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57FBE8F3" w14:textId="173FC0F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6249BC6" w14:textId="4BF784D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578F18A" w14:textId="4C565405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BD729A7" w14:textId="1CC3C7E5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  <w:vAlign w:val="center"/>
          </w:tcPr>
          <w:p w14:paraId="4865C282" w14:textId="018DE648" w:rsidR="00D71DA0" w:rsidRPr="00D71DA0" w:rsidRDefault="007B0C46" w:rsidP="007B0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</w:t>
            </w:r>
            <w:r w:rsidR="00903BE5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  <w:r w:rsidR="00B704C3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</w:tr>
      <w:tr w:rsidR="00D71DA0" w:rsidRPr="00D71DA0" w14:paraId="145A9402" w14:textId="77777777" w:rsidTr="00AF02C6">
        <w:trPr>
          <w:trHeight w:val="330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7B8B0E5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budżet państwa</w:t>
            </w:r>
          </w:p>
        </w:tc>
        <w:tc>
          <w:tcPr>
            <w:tcW w:w="783" w:type="dxa"/>
            <w:gridSpan w:val="3"/>
            <w:shd w:val="clear" w:color="auto" w:fill="FFFFFF" w:themeFill="background1"/>
            <w:vAlign w:val="center"/>
          </w:tcPr>
          <w:p w14:paraId="20B11F0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46004C2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14762A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440521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299F89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7E2E0E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05DB815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50FD117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794B51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EF2F9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A6184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  <w:vAlign w:val="center"/>
          </w:tcPr>
          <w:p w14:paraId="5A1FE329" w14:textId="77777777" w:rsidR="00D71DA0" w:rsidRPr="00D71DA0" w:rsidRDefault="00D71DA0" w:rsidP="007B0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FB8345F" w14:textId="77777777" w:rsidTr="00AF02C6">
        <w:trPr>
          <w:trHeight w:val="351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71ECCAB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JST</w:t>
            </w:r>
          </w:p>
        </w:tc>
        <w:tc>
          <w:tcPr>
            <w:tcW w:w="783" w:type="dxa"/>
            <w:gridSpan w:val="3"/>
            <w:shd w:val="clear" w:color="auto" w:fill="FFFFFF" w:themeFill="background1"/>
            <w:vAlign w:val="center"/>
          </w:tcPr>
          <w:p w14:paraId="2429E55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764EFA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4EE3D2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501042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308D63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50E962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7BA258E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E38E1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7372C6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AB025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29663D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  <w:vAlign w:val="center"/>
          </w:tcPr>
          <w:p w14:paraId="5E80D6AB" w14:textId="77777777" w:rsidR="00D71DA0" w:rsidRPr="00D71DA0" w:rsidRDefault="00D71DA0" w:rsidP="007B0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6E2E6E47" w14:textId="77777777" w:rsidTr="00AF02C6">
        <w:trPr>
          <w:trHeight w:val="351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8BDC7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783" w:type="dxa"/>
            <w:gridSpan w:val="3"/>
            <w:shd w:val="clear" w:color="auto" w:fill="FFFFFF" w:themeFill="background1"/>
            <w:vAlign w:val="center"/>
          </w:tcPr>
          <w:p w14:paraId="1391B892" w14:textId="782AB88E" w:rsidR="00D71DA0" w:rsidRPr="00D71DA0" w:rsidRDefault="007B0C46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</w:t>
            </w:r>
            <w:r w:rsidR="00903BE5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  <w:r w:rsidR="00B704C3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373" w:type="dxa"/>
            <w:shd w:val="clear" w:color="auto" w:fill="FFFFFF" w:themeFill="background1"/>
          </w:tcPr>
          <w:p w14:paraId="5862761B" w14:textId="64560CE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5459C512" w14:textId="3122F09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2EA2686" w14:textId="0D66AD7C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BD49422" w14:textId="6591426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543B1B1" w14:textId="7A7EAADF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7104CF3B" w14:textId="7DC8F41B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608EF4E8" w14:textId="17AC165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7564677" w14:textId="5482C6ED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3DA296E" w14:textId="05A7059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37457E0" w14:textId="14C1AE0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  <w:vAlign w:val="center"/>
          </w:tcPr>
          <w:p w14:paraId="715BEA0A" w14:textId="033CA57F" w:rsidR="00D71DA0" w:rsidRPr="00D71DA0" w:rsidRDefault="007B0C46" w:rsidP="007B0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</w:t>
            </w:r>
            <w:r w:rsidR="00903BE5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  <w:r w:rsidR="00B704C3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</w:tr>
      <w:tr w:rsidR="00D71DA0" w:rsidRPr="00D71DA0" w14:paraId="328ED465" w14:textId="77777777" w:rsidTr="00AF02C6">
        <w:trPr>
          <w:trHeight w:val="351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0649825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783" w:type="dxa"/>
            <w:gridSpan w:val="3"/>
            <w:shd w:val="clear" w:color="auto" w:fill="FFFFFF" w:themeFill="background1"/>
            <w:vAlign w:val="center"/>
          </w:tcPr>
          <w:p w14:paraId="4D1946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5DA8E38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332CDF6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B83187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F4F0B0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2666543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EBACCC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F4ECA9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CBF6DC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6E26FF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7EE0AF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  <w:vAlign w:val="center"/>
          </w:tcPr>
          <w:p w14:paraId="022723A3" w14:textId="77777777" w:rsidR="00D71DA0" w:rsidRPr="00D71DA0" w:rsidRDefault="00D71DA0" w:rsidP="007B0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2F996684" w14:textId="77777777" w:rsidTr="00AF02C6">
        <w:trPr>
          <w:trHeight w:val="360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C76F8A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t>Saldo ogółem</w:t>
            </w:r>
          </w:p>
        </w:tc>
        <w:tc>
          <w:tcPr>
            <w:tcW w:w="783" w:type="dxa"/>
            <w:gridSpan w:val="3"/>
            <w:shd w:val="clear" w:color="auto" w:fill="FFFFFF" w:themeFill="background1"/>
            <w:vAlign w:val="center"/>
          </w:tcPr>
          <w:p w14:paraId="6B2E77A8" w14:textId="39FB4994" w:rsidR="00D71DA0" w:rsidRPr="00D71DA0" w:rsidRDefault="00AF02C6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  <w:r w:rsidR="007B0C46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</w:t>
            </w:r>
            <w:r w:rsidR="00903BE5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  <w:r w:rsidR="00B704C3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373" w:type="dxa"/>
            <w:shd w:val="clear" w:color="auto" w:fill="FFFFFF" w:themeFill="background1"/>
          </w:tcPr>
          <w:p w14:paraId="70B1696E" w14:textId="625C9E7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61269579" w14:textId="1B5CB3E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0412E2F" w14:textId="0A28240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F9571C6" w14:textId="481CDB7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233ABBAF" w14:textId="24774E95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1F3EDAB4" w14:textId="5DC285B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4958F2B9" w14:textId="47FBC23A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4647A0C" w14:textId="681ECA1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DAB0C34" w14:textId="20ECF49D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6000BD2" w14:textId="54180DB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  <w:vAlign w:val="center"/>
          </w:tcPr>
          <w:p w14:paraId="3AD24477" w14:textId="1637FC15" w:rsidR="00D71DA0" w:rsidRPr="00D71DA0" w:rsidRDefault="00AF02C6" w:rsidP="007B0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  <w:r w:rsidR="007B0C46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</w:t>
            </w:r>
            <w:r w:rsidR="00903BE5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  <w:r w:rsidR="00B704C3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</w:tr>
      <w:tr w:rsidR="00D71DA0" w:rsidRPr="00D71DA0" w14:paraId="33A422B7" w14:textId="77777777" w:rsidTr="00AF02C6">
        <w:trPr>
          <w:trHeight w:val="360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AFEB5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budżet państwa</w:t>
            </w:r>
          </w:p>
        </w:tc>
        <w:tc>
          <w:tcPr>
            <w:tcW w:w="783" w:type="dxa"/>
            <w:gridSpan w:val="3"/>
            <w:shd w:val="clear" w:color="auto" w:fill="FFFFFF" w:themeFill="background1"/>
            <w:vAlign w:val="center"/>
          </w:tcPr>
          <w:p w14:paraId="087CA6F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311EA44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7F9121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7DB9EA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60DC1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EE8EE6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490F6D5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6FE18C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AD3117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E5122D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9B2AFE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  <w:vAlign w:val="center"/>
          </w:tcPr>
          <w:p w14:paraId="77131F49" w14:textId="77777777" w:rsidR="00D71DA0" w:rsidRPr="00D71DA0" w:rsidRDefault="00D71DA0" w:rsidP="007B0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26ED8957" w14:textId="77777777" w:rsidTr="00AF02C6">
        <w:trPr>
          <w:trHeight w:val="357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3AD48F3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JST</w:t>
            </w:r>
          </w:p>
        </w:tc>
        <w:tc>
          <w:tcPr>
            <w:tcW w:w="783" w:type="dxa"/>
            <w:gridSpan w:val="3"/>
            <w:shd w:val="clear" w:color="auto" w:fill="FFFFFF" w:themeFill="background1"/>
            <w:vAlign w:val="center"/>
          </w:tcPr>
          <w:p w14:paraId="0787D8F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019AA8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2532FE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306C5F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8990DC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2B1693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B1D1DE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0711A52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AF9886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1F2E3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E072C4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  <w:vAlign w:val="center"/>
          </w:tcPr>
          <w:p w14:paraId="3439C2A8" w14:textId="77777777" w:rsidR="00D71DA0" w:rsidRPr="00D71DA0" w:rsidRDefault="00D71DA0" w:rsidP="007B0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5406CFD5" w14:textId="77777777" w:rsidTr="00AF02C6">
        <w:trPr>
          <w:trHeight w:val="357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01BA8E1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783" w:type="dxa"/>
            <w:gridSpan w:val="3"/>
            <w:shd w:val="clear" w:color="auto" w:fill="FFFFFF" w:themeFill="background1"/>
            <w:vAlign w:val="center"/>
          </w:tcPr>
          <w:p w14:paraId="6CE91C9B" w14:textId="28C32E64" w:rsidR="00D71DA0" w:rsidRPr="00D71DA0" w:rsidRDefault="00AF02C6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  <w:r w:rsidR="007B0C46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</w:t>
            </w:r>
            <w:r w:rsidR="00903BE5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  <w:r w:rsidR="00B704C3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373" w:type="dxa"/>
            <w:shd w:val="clear" w:color="auto" w:fill="FFFFFF" w:themeFill="background1"/>
          </w:tcPr>
          <w:p w14:paraId="45FB5EDF" w14:textId="06774A4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57736574" w14:textId="368B410D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0108082F" w14:textId="12E1024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C2E9BE9" w14:textId="6DAED6A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3201343" w14:textId="231FC47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08FB99C" w14:textId="76C5352F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34D063B6" w14:textId="6141F3C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98E0A98" w14:textId="07784FFB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9393C04" w14:textId="504D09DC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43C03447" w14:textId="77FC97B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  <w:vAlign w:val="center"/>
          </w:tcPr>
          <w:p w14:paraId="3FA264EE" w14:textId="191FDF69" w:rsidR="00D71DA0" w:rsidRPr="00D71DA0" w:rsidRDefault="00AF02C6" w:rsidP="007B0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  <w:r w:rsidR="007B0C46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</w:t>
            </w:r>
            <w:r w:rsidR="00903BE5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  <w:r w:rsidR="00B704C3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</w:tr>
      <w:tr w:rsidR="00D71DA0" w:rsidRPr="00D71DA0" w14:paraId="38CA11EB" w14:textId="77777777" w:rsidTr="00AF02C6">
        <w:trPr>
          <w:trHeight w:val="357"/>
          <w:jc w:val="center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46002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783" w:type="dxa"/>
            <w:gridSpan w:val="3"/>
            <w:shd w:val="clear" w:color="auto" w:fill="FFFFFF" w:themeFill="background1"/>
          </w:tcPr>
          <w:p w14:paraId="12437CB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421336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7612CFD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4ABD37D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814E66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4D73A4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FE3BF9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F39B8C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471A71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7241B8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5F412C1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62462A1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7A9CC6D0" w14:textId="77777777" w:rsidTr="007B0C46">
        <w:trPr>
          <w:gridAfter w:val="1"/>
          <w:wAfter w:w="10" w:type="dxa"/>
          <w:trHeight w:val="348"/>
          <w:jc w:val="center"/>
        </w:trPr>
        <w:tc>
          <w:tcPr>
            <w:tcW w:w="1866" w:type="dxa"/>
            <w:gridSpan w:val="2"/>
            <w:shd w:val="clear" w:color="auto" w:fill="FFFFFF" w:themeFill="background1"/>
            <w:vAlign w:val="center"/>
          </w:tcPr>
          <w:p w14:paraId="3B1E427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Źródła finansowania </w:t>
            </w:r>
          </w:p>
        </w:tc>
        <w:tc>
          <w:tcPr>
            <w:tcW w:w="9069" w:type="dxa"/>
            <w:gridSpan w:val="27"/>
            <w:shd w:val="clear" w:color="auto" w:fill="FFFFFF" w:themeFill="background1"/>
            <w:vAlign w:val="center"/>
          </w:tcPr>
          <w:p w14:paraId="12E947EC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1A78D70B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  <w:p w14:paraId="28DE7E37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1F84184C" w14:textId="77777777" w:rsidTr="007B0C46">
        <w:trPr>
          <w:gridAfter w:val="1"/>
          <w:wAfter w:w="10" w:type="dxa"/>
          <w:trHeight w:val="1195"/>
          <w:jc w:val="center"/>
        </w:trPr>
        <w:tc>
          <w:tcPr>
            <w:tcW w:w="1866" w:type="dxa"/>
            <w:gridSpan w:val="2"/>
            <w:shd w:val="clear" w:color="auto" w:fill="FFFFFF" w:themeFill="background1"/>
          </w:tcPr>
          <w:p w14:paraId="6B841AA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5299995C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9069" w:type="dxa"/>
            <w:gridSpan w:val="27"/>
            <w:shd w:val="clear" w:color="auto" w:fill="FFFFFF" w:themeFill="background1"/>
          </w:tcPr>
          <w:p w14:paraId="414C62BD" w14:textId="7A40D3D8" w:rsidR="007B0C46" w:rsidRDefault="007B0C46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Dostosowanie rejestru do zmian wynikających z projektowanego rozporządzenia szacunkowo będzie kosztować około </w:t>
            </w:r>
            <w:r w:rsidR="00903BE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</w:t>
            </w:r>
            <w:r w:rsidR="00B704C3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80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 tys. zł.</w:t>
            </w:r>
          </w:p>
          <w:p w14:paraId="243134CE" w14:textId="3D711744" w:rsidR="007B0C46" w:rsidRDefault="007B0C46" w:rsidP="00555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7B0C46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Koszty związane z dostosowaniem rejestru endoprotezoplastyk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będą sfinansowane</w:t>
            </w:r>
            <w:r w:rsidRPr="007B0C46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 w ramach środków określonych w planie finansowym na dany rok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7B0C46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w drodze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7B0C46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zawieranych umów na utrzymanie systemów informatycznych NFZ</w:t>
            </w:r>
            <w:r w:rsidR="005550AC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 (koszty administracyjne </w:t>
            </w:r>
            <w:r w:rsidR="005550AC" w:rsidRPr="005550AC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z pozycji</w:t>
            </w:r>
            <w:r w:rsidR="005550AC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5550AC" w:rsidRPr="005550AC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właściwych dla danego rodzaju kosztów, w szczególności D2 – usługi obce).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 Koszty te mają charakter jednorazowy. </w:t>
            </w:r>
          </w:p>
          <w:p w14:paraId="5BDBFA96" w14:textId="5CFD37B5" w:rsidR="007B0C46" w:rsidRDefault="007B0C46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  <w:p w14:paraId="69EBD1F5" w14:textId="53DD903E" w:rsidR="002A46C8" w:rsidRDefault="007B0C46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Natomiast koszty utrzymania rejestru w kolejnych latach </w:t>
            </w:r>
            <w:r w:rsidR="7929826E"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są finansowane ze środków przewidzianych w planie finansowym NFZ na dany rok, w ramach kosztów administracyjnych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.</w:t>
            </w:r>
          </w:p>
          <w:p w14:paraId="75F36A9E" w14:textId="164E3646" w:rsidR="007B0C46" w:rsidRDefault="007B0C46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  <w:p w14:paraId="52106610" w14:textId="77777777" w:rsidR="007B0C46" w:rsidRPr="007B0C46" w:rsidRDefault="007B0C46" w:rsidP="007B0C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7B0C46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Środki na koszty administracyjne ujęte w planie finansowym na rok 2026 umożliwiają</w:t>
            </w:r>
          </w:p>
          <w:p w14:paraId="5A2855F8" w14:textId="77777777" w:rsidR="007B0C46" w:rsidRPr="007B0C46" w:rsidRDefault="007B0C46" w:rsidP="007B0C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7B0C46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sfinansowanie zwiększonych kosztów prowadzenia rejestru endoprotezoplastyk wynikających</w:t>
            </w:r>
          </w:p>
          <w:p w14:paraId="5184CD1B" w14:textId="63EEB9DB" w:rsidR="007B0C46" w:rsidRDefault="007B0C46" w:rsidP="007B0C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7B0C46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z dostosowania rejestru.</w:t>
            </w:r>
          </w:p>
          <w:p w14:paraId="585CFE5E" w14:textId="77777777" w:rsidR="007B0C46" w:rsidRPr="007B0C46" w:rsidRDefault="007B0C46" w:rsidP="007B0C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  <w:p w14:paraId="4928063C" w14:textId="019A9CC1" w:rsidR="00D71DA0" w:rsidRPr="00D71DA0" w:rsidRDefault="7929826E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Projektowane rozporządzenie nie spowoduje dodatkowych skutków finansowych dla budżetu państwa, jednostek samorządu terytorialnego oraz innych jednostek sektora finansów publicznych.</w:t>
            </w:r>
          </w:p>
        </w:tc>
      </w:tr>
      <w:tr w:rsidR="00D71DA0" w:rsidRPr="00D71DA0" w14:paraId="32C04FA1" w14:textId="77777777" w:rsidTr="007B0C46">
        <w:trPr>
          <w:gridAfter w:val="1"/>
          <w:wAfter w:w="10" w:type="dxa"/>
          <w:trHeight w:val="345"/>
          <w:jc w:val="center"/>
        </w:trPr>
        <w:tc>
          <w:tcPr>
            <w:tcW w:w="10935" w:type="dxa"/>
            <w:gridSpan w:val="29"/>
            <w:shd w:val="clear" w:color="auto" w:fill="99CCFF"/>
          </w:tcPr>
          <w:p w14:paraId="29A4CFB0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Wpływ na 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D71DA0" w:rsidRPr="00D71DA0" w14:paraId="39B2F8A7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FFFFFF" w:themeFill="background1"/>
          </w:tcPr>
          <w:p w14:paraId="16BBB24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Skutki</w:t>
            </w:r>
          </w:p>
        </w:tc>
      </w:tr>
      <w:tr w:rsidR="00D71DA0" w:rsidRPr="00D71DA0" w14:paraId="664110B1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3529" w:type="dxa"/>
            <w:gridSpan w:val="6"/>
            <w:shd w:val="clear" w:color="auto" w:fill="FFFFFF" w:themeFill="background1"/>
          </w:tcPr>
          <w:p w14:paraId="21F9F49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Czas w latach od wejścia w życie zmian</w:t>
            </w:r>
          </w:p>
        </w:tc>
        <w:tc>
          <w:tcPr>
            <w:tcW w:w="937" w:type="dxa"/>
            <w:gridSpan w:val="3"/>
            <w:shd w:val="clear" w:color="auto" w:fill="FFFFFF" w:themeFill="background1"/>
          </w:tcPr>
          <w:p w14:paraId="0D29EBA0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1C4122A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09DA5B9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18F8BFA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19DCE63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4A78E4E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1422" w:type="dxa"/>
            <w:shd w:val="clear" w:color="auto" w:fill="FFFFFF" w:themeFill="background1"/>
          </w:tcPr>
          <w:p w14:paraId="1AF28E1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Łącznie</w:t>
            </w:r>
            <w:r w:rsidRPr="00D71DA0" w:rsidDel="0073273A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(0-10)</w:t>
            </w:r>
          </w:p>
        </w:tc>
      </w:tr>
      <w:tr w:rsidR="00D71DA0" w:rsidRPr="00D71DA0" w14:paraId="3A5F64C5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323" w:type="dxa"/>
            <w:vMerge w:val="restart"/>
            <w:shd w:val="clear" w:color="auto" w:fill="FFFFFF" w:themeFill="background1"/>
          </w:tcPr>
          <w:p w14:paraId="692A536E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W ujęciu pieniężnym</w:t>
            </w:r>
          </w:p>
          <w:p w14:paraId="17CF89D7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 xml:space="preserve">(w mln zł, </w:t>
            </w:r>
          </w:p>
          <w:p w14:paraId="0FE7BFA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>ceny stałe z …… r.)</w:t>
            </w:r>
          </w:p>
        </w:tc>
        <w:tc>
          <w:tcPr>
            <w:tcW w:w="2206" w:type="dxa"/>
            <w:gridSpan w:val="5"/>
            <w:shd w:val="clear" w:color="auto" w:fill="FFFFFF" w:themeFill="background1"/>
          </w:tcPr>
          <w:p w14:paraId="48AFDBC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duże przedsiębiorstwa</w:t>
            </w:r>
          </w:p>
        </w:tc>
        <w:tc>
          <w:tcPr>
            <w:tcW w:w="937" w:type="dxa"/>
            <w:gridSpan w:val="3"/>
            <w:shd w:val="clear" w:color="auto" w:fill="FFFFFF" w:themeFill="background1"/>
          </w:tcPr>
          <w:p w14:paraId="1D9056E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45620F44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5DF0848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6F18632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15A035D8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3E3E6A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 w:themeFill="background1"/>
          </w:tcPr>
          <w:p w14:paraId="7B81B73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115AD8A8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323" w:type="dxa"/>
            <w:vMerge/>
          </w:tcPr>
          <w:p w14:paraId="78A9A9A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5"/>
            <w:shd w:val="clear" w:color="auto" w:fill="FFFFFF" w:themeFill="background1"/>
          </w:tcPr>
          <w:p w14:paraId="1FDEBF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sektor mikro-, małych i średnich przedsiębiorstw</w:t>
            </w:r>
          </w:p>
        </w:tc>
        <w:tc>
          <w:tcPr>
            <w:tcW w:w="937" w:type="dxa"/>
            <w:gridSpan w:val="3"/>
            <w:shd w:val="clear" w:color="auto" w:fill="FFFFFF" w:themeFill="background1"/>
          </w:tcPr>
          <w:p w14:paraId="3F5C6BB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579E424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6D6140A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46F9727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6AA8795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5C432CE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 w:themeFill="background1"/>
          </w:tcPr>
          <w:p w14:paraId="181FA71E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217EEFDA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323" w:type="dxa"/>
            <w:vMerge/>
          </w:tcPr>
          <w:p w14:paraId="653665B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5"/>
            <w:shd w:val="clear" w:color="auto" w:fill="FFFFFF" w:themeFill="background1"/>
          </w:tcPr>
          <w:p w14:paraId="72E82E2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rodzina, obywatele oraz gospodarstwa domowe</w:t>
            </w:r>
          </w:p>
        </w:tc>
        <w:tc>
          <w:tcPr>
            <w:tcW w:w="937" w:type="dxa"/>
            <w:gridSpan w:val="3"/>
            <w:shd w:val="clear" w:color="auto" w:fill="FFFFFF" w:themeFill="background1"/>
          </w:tcPr>
          <w:p w14:paraId="503ED1B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14FFA9E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2F25CFA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589BC6C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6B25B8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211D47E8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 w:themeFill="background1"/>
          </w:tcPr>
          <w:p w14:paraId="7B5C5D94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33A9CB1D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323" w:type="dxa"/>
            <w:vMerge w:val="restart"/>
            <w:shd w:val="clear" w:color="auto" w:fill="FFFFFF" w:themeFill="background1"/>
          </w:tcPr>
          <w:p w14:paraId="1DC4460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W ujęciu niepieniężnym</w:t>
            </w:r>
          </w:p>
        </w:tc>
        <w:tc>
          <w:tcPr>
            <w:tcW w:w="2206" w:type="dxa"/>
            <w:gridSpan w:val="5"/>
            <w:shd w:val="clear" w:color="auto" w:fill="FFFFFF" w:themeFill="background1"/>
          </w:tcPr>
          <w:p w14:paraId="0DC041FC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duże przedsiębiorstwa</w:t>
            </w:r>
          </w:p>
        </w:tc>
        <w:tc>
          <w:tcPr>
            <w:tcW w:w="7406" w:type="dxa"/>
            <w:gridSpan w:val="23"/>
            <w:shd w:val="clear" w:color="auto" w:fill="FFFFFF" w:themeFill="background1"/>
          </w:tcPr>
          <w:p w14:paraId="23B00B2F" w14:textId="41C8A9CD" w:rsidR="00D71DA0" w:rsidRPr="00783D8E" w:rsidRDefault="7F1451D4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Możliwe wystąpienie efektu wzrostu konkurencji </w:t>
            </w:r>
            <w:r w:rsidR="7EBBCDFF"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między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 podmiotami wykonującymi świadczenia medyczne i dostawcami technologii medycznych oraz wzrostu ich konkurencyjności.</w:t>
            </w:r>
          </w:p>
        </w:tc>
      </w:tr>
      <w:tr w:rsidR="00D71DA0" w:rsidRPr="00D71DA0" w14:paraId="79040F99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323" w:type="dxa"/>
            <w:vMerge/>
          </w:tcPr>
          <w:p w14:paraId="13E1E47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5"/>
            <w:shd w:val="clear" w:color="auto" w:fill="FFFFFF" w:themeFill="background1"/>
          </w:tcPr>
          <w:p w14:paraId="5C0757CA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sektor mikro-, małych i średnich przedsiębiorstw</w:t>
            </w:r>
          </w:p>
        </w:tc>
        <w:tc>
          <w:tcPr>
            <w:tcW w:w="7406" w:type="dxa"/>
            <w:gridSpan w:val="23"/>
            <w:shd w:val="clear" w:color="auto" w:fill="FFFFFF" w:themeFill="background1"/>
          </w:tcPr>
          <w:p w14:paraId="20BFCC0F" w14:textId="77B0134E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Przedmiotowy projekt może mieć wpływ na działalność </w:t>
            </w:r>
            <w:proofErr w:type="spellStart"/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mikroprzedsiębiorców</w:t>
            </w:r>
            <w:proofErr w:type="spellEnd"/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, małych i średnich przedsiębiorców przez dostarczenie danych o jakości </w:t>
            </w:r>
            <w:r w:rsidR="00F55523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br/>
            </w: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i efektywności wykonywanych przez nich procedur. Informacja ta może wpłynąć na poprawę jakości realizowanych przez nich świadczeń opieki zdrowotnej.</w:t>
            </w:r>
          </w:p>
        </w:tc>
      </w:tr>
      <w:tr w:rsidR="00D71DA0" w:rsidRPr="00D71DA0" w14:paraId="44B3D58C" w14:textId="77777777" w:rsidTr="007B0C46">
        <w:trPr>
          <w:gridAfter w:val="1"/>
          <w:wAfter w:w="10" w:type="dxa"/>
          <w:trHeight w:val="596"/>
          <w:jc w:val="center"/>
        </w:trPr>
        <w:tc>
          <w:tcPr>
            <w:tcW w:w="1323" w:type="dxa"/>
            <w:vMerge/>
          </w:tcPr>
          <w:p w14:paraId="2BD74A9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5"/>
            <w:shd w:val="clear" w:color="auto" w:fill="FFFFFF" w:themeFill="background1"/>
          </w:tcPr>
          <w:p w14:paraId="7D55F70B" w14:textId="77777777" w:rsidR="00D71DA0" w:rsidRPr="00783D8E" w:rsidRDefault="00D71DA0" w:rsidP="00D71DA0">
            <w:pPr>
              <w:tabs>
                <w:tab w:val="right" w:pos="193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rodzina, obywatele oraz gospodarstwa domowe</w:t>
            </w: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 </w:t>
            </w:r>
          </w:p>
        </w:tc>
        <w:tc>
          <w:tcPr>
            <w:tcW w:w="7406" w:type="dxa"/>
            <w:gridSpan w:val="23"/>
            <w:shd w:val="clear" w:color="auto" w:fill="FFFFFF" w:themeFill="background1"/>
          </w:tcPr>
          <w:p w14:paraId="65F35FEC" w14:textId="5B8EA8FF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Poprawa jakości świadczonych usług endoprotezoplastyki</w:t>
            </w:r>
            <w:r w:rsidR="00022BD5"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skutkująca: polepszeniem jakości życia pacjentów poddanych endoprotezoplastyce, zmniejszeniem powikłań i potrzeb ponownych interwencji, a zatem zmniejszeniem ewentualnych absencji w pracy, utrzymaniem aktywności części emerytów, zmniejszeniem liczby rencistów.</w:t>
            </w:r>
            <w:r w:rsidR="00022BD5"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lastRenderedPageBreak/>
              <w:t>Utrzymanie aktywności operowanych pacjentów na rynku pracy jest szansą na utrzymanie dochodów ich rodzin i konsumpcji na poziomie sprzed operacji.</w:t>
            </w:r>
          </w:p>
        </w:tc>
      </w:tr>
      <w:tr w:rsidR="00D71DA0" w:rsidRPr="00D71DA0" w14:paraId="3D2FA28C" w14:textId="77777777" w:rsidTr="007B0C46">
        <w:trPr>
          <w:gridAfter w:val="1"/>
          <w:wAfter w:w="10" w:type="dxa"/>
          <w:trHeight w:val="240"/>
          <w:jc w:val="center"/>
        </w:trPr>
        <w:tc>
          <w:tcPr>
            <w:tcW w:w="1323" w:type="dxa"/>
            <w:vMerge/>
          </w:tcPr>
          <w:p w14:paraId="42143C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5"/>
            <w:shd w:val="clear" w:color="auto" w:fill="FFFFFF" w:themeFill="background1"/>
          </w:tcPr>
          <w:p w14:paraId="1D6279EF" w14:textId="77777777" w:rsidR="00D71DA0" w:rsidRPr="00783D8E" w:rsidRDefault="00D71DA0" w:rsidP="00D71DA0">
            <w:pPr>
              <w:tabs>
                <w:tab w:val="right" w:pos="1936"/>
              </w:tabs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osoby starsze, osoby niepełnosprawne</w:t>
            </w:r>
          </w:p>
        </w:tc>
        <w:tc>
          <w:tcPr>
            <w:tcW w:w="7406" w:type="dxa"/>
            <w:gridSpan w:val="23"/>
            <w:shd w:val="clear" w:color="auto" w:fill="FFFFFF" w:themeFill="background1"/>
          </w:tcPr>
          <w:p w14:paraId="65EC8177" w14:textId="58FA8027" w:rsidR="00D71DA0" w:rsidRPr="00783D8E" w:rsidRDefault="00D71DA0" w:rsidP="00D71DA0">
            <w:pPr>
              <w:tabs>
                <w:tab w:val="left" w:pos="3000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Z poprawy jakości świadczonych usług endoprotezoplastyki skorzystają również osoby starsze i 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osoby z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niepełnosprawn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ością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przez zwiększenie prawdopodobieństwa przywrócenia sprawności lub zmniejszenia dolegliwości u tych osób.  </w:t>
            </w:r>
          </w:p>
        </w:tc>
      </w:tr>
      <w:tr w:rsidR="00D71DA0" w:rsidRPr="00D71DA0" w14:paraId="353D4A18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323" w:type="dxa"/>
            <w:shd w:val="clear" w:color="auto" w:fill="FFFFFF" w:themeFill="background1"/>
          </w:tcPr>
          <w:p w14:paraId="677BB96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Niemierzalne</w:t>
            </w:r>
          </w:p>
        </w:tc>
        <w:tc>
          <w:tcPr>
            <w:tcW w:w="2206" w:type="dxa"/>
            <w:gridSpan w:val="5"/>
            <w:shd w:val="clear" w:color="auto" w:fill="FFFFFF" w:themeFill="background1"/>
          </w:tcPr>
          <w:p w14:paraId="1084E835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406" w:type="dxa"/>
            <w:gridSpan w:val="23"/>
            <w:shd w:val="clear" w:color="auto" w:fill="FFFFFF" w:themeFill="background1"/>
          </w:tcPr>
          <w:p w14:paraId="55CD04C8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Nie dotyczy</w:t>
            </w:r>
          </w:p>
        </w:tc>
      </w:tr>
      <w:tr w:rsidR="00D71DA0" w:rsidRPr="00D71DA0" w14:paraId="635A0829" w14:textId="77777777" w:rsidTr="007B0C46">
        <w:trPr>
          <w:gridAfter w:val="1"/>
          <w:wAfter w:w="10" w:type="dxa"/>
          <w:trHeight w:val="1643"/>
          <w:jc w:val="center"/>
        </w:trPr>
        <w:tc>
          <w:tcPr>
            <w:tcW w:w="1866" w:type="dxa"/>
            <w:gridSpan w:val="2"/>
            <w:shd w:val="clear" w:color="auto" w:fill="FFFFFF" w:themeFill="background1"/>
          </w:tcPr>
          <w:p w14:paraId="0B50419B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Dodatkowe informacje, w tym wskazanie źródeł danych i przyjętych do obliczeń założeń </w:t>
            </w:r>
          </w:p>
        </w:tc>
        <w:tc>
          <w:tcPr>
            <w:tcW w:w="9069" w:type="dxa"/>
            <w:gridSpan w:val="27"/>
            <w:shd w:val="clear" w:color="auto" w:fill="FFFFFF" w:themeFill="background1"/>
            <w:vAlign w:val="center"/>
          </w:tcPr>
          <w:p w14:paraId="20F18458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6C6EDDD0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Opracowano na podstawie danych przekazanych przez NFZ.</w:t>
            </w:r>
          </w:p>
          <w:p w14:paraId="74405717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3871DCE5" w14:textId="77777777" w:rsidTr="007B0C46">
        <w:trPr>
          <w:gridAfter w:val="1"/>
          <w:wAfter w:w="10" w:type="dxa"/>
          <w:trHeight w:val="342"/>
          <w:jc w:val="center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0FF80203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 Zmiana obciążeń regulacyjnych (w tym obowiązków informacyjnych) wynikających z projektu</w:t>
            </w:r>
          </w:p>
        </w:tc>
      </w:tr>
      <w:tr w:rsidR="00D71DA0" w:rsidRPr="00D71DA0" w14:paraId="7FBDA713" w14:textId="77777777" w:rsidTr="007B0C46">
        <w:trPr>
          <w:gridAfter w:val="1"/>
          <w:wAfter w:w="10" w:type="dxa"/>
          <w:trHeight w:val="151"/>
          <w:jc w:val="center"/>
        </w:trPr>
        <w:tc>
          <w:tcPr>
            <w:tcW w:w="10935" w:type="dxa"/>
            <w:gridSpan w:val="29"/>
            <w:shd w:val="clear" w:color="auto" w:fill="FFFFFF" w:themeFill="background1"/>
          </w:tcPr>
          <w:p w14:paraId="033412B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X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nie dotyczy</w:t>
            </w:r>
          </w:p>
        </w:tc>
      </w:tr>
      <w:tr w:rsidR="00D71DA0" w:rsidRPr="00D71DA0" w14:paraId="37986D52" w14:textId="77777777" w:rsidTr="007B0C46">
        <w:trPr>
          <w:gridAfter w:val="1"/>
          <w:wAfter w:w="10" w:type="dxa"/>
          <w:trHeight w:val="946"/>
          <w:jc w:val="center"/>
        </w:trPr>
        <w:tc>
          <w:tcPr>
            <w:tcW w:w="4907" w:type="dxa"/>
            <w:gridSpan w:val="12"/>
            <w:shd w:val="clear" w:color="auto" w:fill="FFFFFF" w:themeFill="background1"/>
          </w:tcPr>
          <w:p w14:paraId="29BF8C80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Wprowadzane są obciążenia poza bezwzględnie wymaganymi przez UE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(szczegóły w odwróconej tabeli zgodności).</w:t>
            </w:r>
          </w:p>
        </w:tc>
        <w:tc>
          <w:tcPr>
            <w:tcW w:w="6028" w:type="dxa"/>
            <w:gridSpan w:val="17"/>
            <w:shd w:val="clear" w:color="auto" w:fill="FFFFFF" w:themeFill="background1"/>
          </w:tcPr>
          <w:p w14:paraId="347DDA0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tak</w:t>
            </w:r>
          </w:p>
          <w:p w14:paraId="5B21011F" w14:textId="0F5662B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nie</w:t>
            </w:r>
          </w:p>
          <w:p w14:paraId="1C34FB46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  nie dotyczy</w:t>
            </w:r>
          </w:p>
        </w:tc>
      </w:tr>
      <w:tr w:rsidR="00D71DA0" w:rsidRPr="00D71DA0" w14:paraId="7FD3152A" w14:textId="77777777" w:rsidTr="007B0C46">
        <w:trPr>
          <w:gridAfter w:val="1"/>
          <w:wAfter w:w="10" w:type="dxa"/>
          <w:trHeight w:val="1245"/>
          <w:jc w:val="center"/>
        </w:trPr>
        <w:tc>
          <w:tcPr>
            <w:tcW w:w="4907" w:type="dxa"/>
            <w:gridSpan w:val="12"/>
            <w:shd w:val="clear" w:color="auto" w:fill="FFFFFF" w:themeFill="background1"/>
          </w:tcPr>
          <w:p w14:paraId="6DA6A1CD" w14:textId="312FAD21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zmniejszenie liczby dokumentów </w:t>
            </w:r>
          </w:p>
          <w:p w14:paraId="2C9A2C76" w14:textId="28B16CD9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zmniejszenie liczby procedur</w:t>
            </w:r>
          </w:p>
          <w:p w14:paraId="31A86F6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skrócenie czasu na załatwienie sprawy</w:t>
            </w:r>
          </w:p>
          <w:p w14:paraId="25C78A28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inne: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  <w:tc>
          <w:tcPr>
            <w:tcW w:w="6028" w:type="dxa"/>
            <w:gridSpan w:val="17"/>
            <w:shd w:val="clear" w:color="auto" w:fill="FFFFFF" w:themeFill="background1"/>
          </w:tcPr>
          <w:p w14:paraId="730BE70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zwiększenie liczby dokumentów</w:t>
            </w:r>
          </w:p>
          <w:p w14:paraId="2AAB418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zwiększenie liczby procedur</w:t>
            </w:r>
          </w:p>
          <w:p w14:paraId="06FE8CA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wydłużenie czasu na załatwienie sprawy</w:t>
            </w:r>
          </w:p>
          <w:p w14:paraId="6E67832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inne: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  <w:p w14:paraId="141EE20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71DA0" w:rsidRPr="00D71DA0" w14:paraId="17FB6C62" w14:textId="77777777" w:rsidTr="007B0C46">
        <w:trPr>
          <w:gridAfter w:val="1"/>
          <w:wAfter w:w="10" w:type="dxa"/>
          <w:trHeight w:val="870"/>
          <w:jc w:val="center"/>
        </w:trPr>
        <w:tc>
          <w:tcPr>
            <w:tcW w:w="4907" w:type="dxa"/>
            <w:gridSpan w:val="12"/>
            <w:shd w:val="clear" w:color="auto" w:fill="FFFFFF" w:themeFill="background1"/>
          </w:tcPr>
          <w:p w14:paraId="5FDFE38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Wprowadzane obciążenia są przystosowane do ich elektronizacji. </w:t>
            </w:r>
          </w:p>
        </w:tc>
        <w:tc>
          <w:tcPr>
            <w:tcW w:w="6028" w:type="dxa"/>
            <w:gridSpan w:val="17"/>
            <w:shd w:val="clear" w:color="auto" w:fill="FFFFFF" w:themeFill="background1"/>
          </w:tcPr>
          <w:p w14:paraId="2B292BE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tak</w:t>
            </w:r>
          </w:p>
          <w:p w14:paraId="65871A8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nie</w:t>
            </w:r>
          </w:p>
          <w:p w14:paraId="0B11C1C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  nie dotyczy</w:t>
            </w:r>
          </w:p>
          <w:p w14:paraId="4343B8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3E5069" w:rsidRPr="00D71DA0" w14:paraId="4F8A1794" w14:textId="77777777" w:rsidTr="007B0C46">
        <w:trPr>
          <w:gridAfter w:val="1"/>
          <w:wAfter w:w="10" w:type="dxa"/>
          <w:trHeight w:val="870"/>
          <w:jc w:val="center"/>
        </w:trPr>
        <w:tc>
          <w:tcPr>
            <w:tcW w:w="10935" w:type="dxa"/>
            <w:gridSpan w:val="29"/>
            <w:shd w:val="clear" w:color="auto" w:fill="FFFFFF" w:themeFill="background1"/>
          </w:tcPr>
          <w:p w14:paraId="0F912D78" w14:textId="0D0B31D4" w:rsidR="003E5069" w:rsidRPr="00D71DA0" w:rsidRDefault="1402CA77" w:rsidP="529999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Komentarz: Projektowane zmiany nie będą stanowiły dodatkowe</w:t>
            </w:r>
            <w:r w:rsidR="1482050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go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obciążenia administracyjnego dla podmiotów zobowiązanych do przekazywania danych do rejestru endoprotezoplastyk. Głównym celem projektu jest </w:t>
            </w:r>
            <w:r w:rsidR="1482050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m.in. wdrożenie rozwiązań </w:t>
            </w:r>
            <w:proofErr w:type="spellStart"/>
            <w:r w:rsidR="1482050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deregulacyjnych</w:t>
            </w:r>
            <w:proofErr w:type="spellEnd"/>
            <w:r w:rsidR="1482050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, które pozwolą na ograniczenie raportowania do rejestru endoprotezoplastyk danych, których przetwarzanie jest niecelowe oraz nie posiada wartości statystyczno-analitycznej, co odciąż</w:t>
            </w:r>
            <w:r w:rsidR="5ACECE1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y</w:t>
            </w:r>
            <w:r w:rsidR="1482050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podmioty zobowiązane do wprowadzania danych do rejestru. </w:t>
            </w:r>
          </w:p>
        </w:tc>
      </w:tr>
      <w:tr w:rsidR="00D71DA0" w:rsidRPr="00D71DA0" w14:paraId="0DFD9B3D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99CCFF"/>
          </w:tcPr>
          <w:p w14:paraId="2379AD6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Wpływ na rynek pracy </w:t>
            </w:r>
          </w:p>
        </w:tc>
      </w:tr>
      <w:tr w:rsidR="00D71DA0" w:rsidRPr="00D71DA0" w14:paraId="0F40CDB9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</w:tcPr>
          <w:p w14:paraId="553938B1" w14:textId="16059AF2" w:rsidR="00D71DA0" w:rsidRPr="00D71DA0" w:rsidRDefault="008D2D44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D2D44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Poprawa jakości świadczonych usług endoprotezoplastyki będzie skutkować mniejszą liczbą powikłań, a zatem zmniejszeniem absencji w pracy oraz zmniejszeniem liczby rencistów. Większa liczba pacjentów będzie miała szansę na utrzymanie aktywności na rynku pracy.</w:t>
            </w:r>
          </w:p>
        </w:tc>
      </w:tr>
      <w:tr w:rsidR="00D71DA0" w:rsidRPr="00D71DA0" w14:paraId="3DAAD5A7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99CCFF"/>
          </w:tcPr>
          <w:p w14:paraId="4420E981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Wpływ na pozostałe obszary</w:t>
            </w:r>
          </w:p>
        </w:tc>
      </w:tr>
      <w:tr w:rsidR="00D71DA0" w:rsidRPr="00D71DA0" w14:paraId="573AA6B5" w14:textId="77777777" w:rsidTr="007B0C46">
        <w:trPr>
          <w:gridAfter w:val="1"/>
          <w:wAfter w:w="10" w:type="dxa"/>
          <w:trHeight w:val="1031"/>
          <w:jc w:val="center"/>
        </w:trPr>
        <w:tc>
          <w:tcPr>
            <w:tcW w:w="3170" w:type="dxa"/>
            <w:gridSpan w:val="5"/>
            <w:shd w:val="clear" w:color="auto" w:fill="FFFFFF" w:themeFill="background1"/>
          </w:tcPr>
          <w:p w14:paraId="5DD32EB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09B36A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środowisko naturalne</w:t>
            </w:r>
          </w:p>
          <w:p w14:paraId="4304236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sytuacja i rozwój regionalny</w:t>
            </w:r>
          </w:p>
          <w:p w14:paraId="10CE703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>sądy powszechne, administracyjne lub wojskowe</w:t>
            </w:r>
          </w:p>
        </w:tc>
        <w:tc>
          <w:tcPr>
            <w:tcW w:w="3941" w:type="dxa"/>
            <w:gridSpan w:val="15"/>
            <w:shd w:val="clear" w:color="auto" w:fill="FFFFFF" w:themeFill="background1"/>
          </w:tcPr>
          <w:p w14:paraId="5AB4EE3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6A2378D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demografia</w:t>
            </w:r>
          </w:p>
          <w:p w14:paraId="6DDFA72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mienie państwowe</w:t>
            </w:r>
          </w:p>
          <w:p w14:paraId="381D1F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inne: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  <w:tc>
          <w:tcPr>
            <w:tcW w:w="3824" w:type="dxa"/>
            <w:gridSpan w:val="9"/>
            <w:shd w:val="clear" w:color="auto" w:fill="FFFFFF" w:themeFill="background1"/>
          </w:tcPr>
          <w:p w14:paraId="5049580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28C1E5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informatyzacja</w:t>
            </w:r>
          </w:p>
          <w:p w14:paraId="3195B48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X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zdrowie</w:t>
            </w:r>
          </w:p>
        </w:tc>
      </w:tr>
      <w:tr w:rsidR="00D71DA0" w:rsidRPr="00D71DA0" w14:paraId="626D2D8C" w14:textId="77777777" w:rsidTr="007B0C46">
        <w:trPr>
          <w:gridAfter w:val="1"/>
          <w:wAfter w:w="10" w:type="dxa"/>
          <w:trHeight w:val="712"/>
          <w:jc w:val="center"/>
        </w:trPr>
        <w:tc>
          <w:tcPr>
            <w:tcW w:w="1866" w:type="dxa"/>
            <w:gridSpan w:val="2"/>
            <w:shd w:val="clear" w:color="auto" w:fill="FFFFFF" w:themeFill="background1"/>
            <w:vAlign w:val="center"/>
          </w:tcPr>
          <w:p w14:paraId="001A528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Omówienie wpływu</w:t>
            </w:r>
          </w:p>
        </w:tc>
        <w:tc>
          <w:tcPr>
            <w:tcW w:w="9069" w:type="dxa"/>
            <w:gridSpan w:val="27"/>
            <w:shd w:val="clear" w:color="auto" w:fill="FFFFFF" w:themeFill="background1"/>
            <w:vAlign w:val="center"/>
          </w:tcPr>
          <w:p w14:paraId="08C4DC5F" w14:textId="77777777" w:rsidR="00F0264F" w:rsidRPr="00F0264F" w:rsidRDefault="00F0264F" w:rsidP="00F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F0264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Rejestr stanowi narzędzie analiz pozwalających lepiej zarządzać finansami publicznymi.</w:t>
            </w:r>
          </w:p>
          <w:p w14:paraId="17E25F42" w14:textId="0346EA01" w:rsidR="00D71DA0" w:rsidRPr="00D71DA0" w:rsidRDefault="00F0264F" w:rsidP="00F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F0264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Analizy dotyczące jakości i skuteczności technologii medycznych służą podnoszeniu jakości świadczeń, a dzięki temu również jakości życia osób u których zabiegi endoprotezoplastyki będą wykonywane.</w:t>
            </w:r>
          </w:p>
        </w:tc>
      </w:tr>
      <w:tr w:rsidR="00D71DA0" w:rsidRPr="00D71DA0" w14:paraId="74ECFEC7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99CCFF"/>
          </w:tcPr>
          <w:p w14:paraId="117948DD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Planowane wykonanie przepisów aktu prawnego</w:t>
            </w:r>
          </w:p>
        </w:tc>
      </w:tr>
      <w:tr w:rsidR="00D71DA0" w:rsidRPr="00D71DA0" w14:paraId="1C3454BB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FFFFFF" w:themeFill="background1"/>
          </w:tcPr>
          <w:p w14:paraId="42F716D9" w14:textId="09945468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Rozporządzenie wejdzie w życie po upływie </w:t>
            </w:r>
            <w:r w:rsidR="00646E6E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6 </w:t>
            </w:r>
            <w:r w:rsidR="00FC0C12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>miesi</w:t>
            </w:r>
            <w:r w:rsidR="00646E6E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ęcy </w:t>
            </w: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od dnia ogłoszenia. </w:t>
            </w:r>
          </w:p>
        </w:tc>
      </w:tr>
      <w:tr w:rsidR="00D71DA0" w:rsidRPr="00D71DA0" w14:paraId="7A887382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99CCFF"/>
          </w:tcPr>
          <w:p w14:paraId="1EA351DE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W jaki sposób i kiedy nastąpi ewaluacja efektów projektu oraz jakie mierniki zostaną zastosowane?</w:t>
            </w:r>
          </w:p>
        </w:tc>
      </w:tr>
      <w:tr w:rsidR="00D71DA0" w:rsidRPr="00D71DA0" w14:paraId="1C7A1BE6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FFFFFF" w:themeFill="background1"/>
          </w:tcPr>
          <w:p w14:paraId="2A00B60E" w14:textId="77777777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Rejestr jest narzędziem, które umożliwia osiąganie efektów wskazanych w części 2 OSR.</w:t>
            </w:r>
          </w:p>
          <w:p w14:paraId="0543FE29" w14:textId="4AE38197" w:rsidR="00D71DA0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Miernikiem będą generowane analizy i prowadzenie obserwacji zjawisk (cech działań lub przedmiotów) wskazanych w części 2 OSR. Ewaluacja następować będzie na bieżąco, z uwagi na nieprzerwane funkcjonowanie rejestru od 2019 r</w:t>
            </w:r>
            <w:r w:rsidR="00F14FB6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. </w:t>
            </w:r>
          </w:p>
        </w:tc>
      </w:tr>
      <w:tr w:rsidR="00D71DA0" w:rsidRPr="00D71DA0" w14:paraId="26EFE213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99CCFF"/>
          </w:tcPr>
          <w:p w14:paraId="138D187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Załączniki </w:t>
            </w: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(istotne dokumenty źródłowe, badania, analizy itp.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) </w:t>
            </w:r>
          </w:p>
        </w:tc>
      </w:tr>
      <w:tr w:rsidR="00D71DA0" w:rsidRPr="00D71DA0" w14:paraId="571B370A" w14:textId="77777777" w:rsidTr="007B0C46">
        <w:trPr>
          <w:gridAfter w:val="1"/>
          <w:wAfter w:w="10" w:type="dxa"/>
          <w:trHeight w:val="142"/>
          <w:jc w:val="center"/>
        </w:trPr>
        <w:tc>
          <w:tcPr>
            <w:tcW w:w="10935" w:type="dxa"/>
            <w:gridSpan w:val="29"/>
            <w:shd w:val="clear" w:color="auto" w:fill="FFFFFF" w:themeFill="background1"/>
          </w:tcPr>
          <w:p w14:paraId="0AE39015" w14:textId="5A1C736B" w:rsidR="00D71DA0" w:rsidRPr="00D71DA0" w:rsidRDefault="004B6FD8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Szablon oceny skutków dla ochrony danych. </w:t>
            </w:r>
          </w:p>
        </w:tc>
      </w:tr>
    </w:tbl>
    <w:p w14:paraId="282CE35D" w14:textId="77777777" w:rsidR="00E60A4F" w:rsidRDefault="00E60A4F"/>
    <w:sectPr w:rsidR="00E60A4F" w:rsidSect="00D71DA0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C53E4"/>
    <w:multiLevelType w:val="hybridMultilevel"/>
    <w:tmpl w:val="159AF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12040"/>
    <w:multiLevelType w:val="hybridMultilevel"/>
    <w:tmpl w:val="D1C03A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4827282">
    <w:abstractNumId w:val="0"/>
  </w:num>
  <w:num w:numId="2" w16cid:durableId="11303664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3457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DA0"/>
    <w:rsid w:val="00004F2D"/>
    <w:rsid w:val="00022BD5"/>
    <w:rsid w:val="000444C3"/>
    <w:rsid w:val="00054145"/>
    <w:rsid w:val="00073E8E"/>
    <w:rsid w:val="0007FB40"/>
    <w:rsid w:val="0008086D"/>
    <w:rsid w:val="00080895"/>
    <w:rsid w:val="00084C37"/>
    <w:rsid w:val="000E58A2"/>
    <w:rsid w:val="00103789"/>
    <w:rsid w:val="00140A04"/>
    <w:rsid w:val="00144E40"/>
    <w:rsid w:val="00145545"/>
    <w:rsid w:val="0015507F"/>
    <w:rsid w:val="00162FBC"/>
    <w:rsid w:val="00173061"/>
    <w:rsid w:val="00175101"/>
    <w:rsid w:val="00177C93"/>
    <w:rsid w:val="0018359E"/>
    <w:rsid w:val="001B7579"/>
    <w:rsid w:val="001B7F3F"/>
    <w:rsid w:val="001C178A"/>
    <w:rsid w:val="001C1CCA"/>
    <w:rsid w:val="00226DF7"/>
    <w:rsid w:val="0024001F"/>
    <w:rsid w:val="002403A4"/>
    <w:rsid w:val="00260998"/>
    <w:rsid w:val="002A46C8"/>
    <w:rsid w:val="002D03C1"/>
    <w:rsid w:val="00300F06"/>
    <w:rsid w:val="00303AB2"/>
    <w:rsid w:val="00324C7B"/>
    <w:rsid w:val="00343BCA"/>
    <w:rsid w:val="00366317"/>
    <w:rsid w:val="00382F9E"/>
    <w:rsid w:val="003840FC"/>
    <w:rsid w:val="00397FF7"/>
    <w:rsid w:val="003B273B"/>
    <w:rsid w:val="003E081D"/>
    <w:rsid w:val="003E29E8"/>
    <w:rsid w:val="003E5069"/>
    <w:rsid w:val="004130FE"/>
    <w:rsid w:val="00426D5F"/>
    <w:rsid w:val="00427846"/>
    <w:rsid w:val="00430451"/>
    <w:rsid w:val="00461D94"/>
    <w:rsid w:val="00466B93"/>
    <w:rsid w:val="004B6FD8"/>
    <w:rsid w:val="004C48C2"/>
    <w:rsid w:val="004D6548"/>
    <w:rsid w:val="004F6E49"/>
    <w:rsid w:val="00515417"/>
    <w:rsid w:val="00520E75"/>
    <w:rsid w:val="00543CB9"/>
    <w:rsid w:val="005550AC"/>
    <w:rsid w:val="00556C33"/>
    <w:rsid w:val="005B51DB"/>
    <w:rsid w:val="005D76CB"/>
    <w:rsid w:val="005E1F58"/>
    <w:rsid w:val="006039B6"/>
    <w:rsid w:val="00630911"/>
    <w:rsid w:val="00641DD0"/>
    <w:rsid w:val="00646E6E"/>
    <w:rsid w:val="00650469"/>
    <w:rsid w:val="0066172B"/>
    <w:rsid w:val="006943A4"/>
    <w:rsid w:val="006A674B"/>
    <w:rsid w:val="006B2F6C"/>
    <w:rsid w:val="006C013F"/>
    <w:rsid w:val="006C4555"/>
    <w:rsid w:val="006D4FE2"/>
    <w:rsid w:val="007025DB"/>
    <w:rsid w:val="00704247"/>
    <w:rsid w:val="00707956"/>
    <w:rsid w:val="00725E1E"/>
    <w:rsid w:val="00745498"/>
    <w:rsid w:val="00751D50"/>
    <w:rsid w:val="0075234D"/>
    <w:rsid w:val="00783D8E"/>
    <w:rsid w:val="00784497"/>
    <w:rsid w:val="007910FC"/>
    <w:rsid w:val="007A01C6"/>
    <w:rsid w:val="007B0C46"/>
    <w:rsid w:val="007B1790"/>
    <w:rsid w:val="007C5F8F"/>
    <w:rsid w:val="007D249B"/>
    <w:rsid w:val="007E2765"/>
    <w:rsid w:val="007E5520"/>
    <w:rsid w:val="007E6A3D"/>
    <w:rsid w:val="00821352"/>
    <w:rsid w:val="0084330A"/>
    <w:rsid w:val="008458E5"/>
    <w:rsid w:val="00874E98"/>
    <w:rsid w:val="008A11BB"/>
    <w:rsid w:val="008C7250"/>
    <w:rsid w:val="008C7F1B"/>
    <w:rsid w:val="008D2D44"/>
    <w:rsid w:val="008E6D0B"/>
    <w:rsid w:val="00903B04"/>
    <w:rsid w:val="00903BE5"/>
    <w:rsid w:val="009956E1"/>
    <w:rsid w:val="009C179F"/>
    <w:rsid w:val="009C7BAA"/>
    <w:rsid w:val="00A329FA"/>
    <w:rsid w:val="00A46430"/>
    <w:rsid w:val="00A47648"/>
    <w:rsid w:val="00A579A9"/>
    <w:rsid w:val="00A76A61"/>
    <w:rsid w:val="00A8747F"/>
    <w:rsid w:val="00A90922"/>
    <w:rsid w:val="00A922BD"/>
    <w:rsid w:val="00A9607F"/>
    <w:rsid w:val="00AA15E1"/>
    <w:rsid w:val="00AA367C"/>
    <w:rsid w:val="00AA3790"/>
    <w:rsid w:val="00AB2428"/>
    <w:rsid w:val="00AD5FD2"/>
    <w:rsid w:val="00AF02C6"/>
    <w:rsid w:val="00B170AA"/>
    <w:rsid w:val="00B224D0"/>
    <w:rsid w:val="00B31CCB"/>
    <w:rsid w:val="00B33EFF"/>
    <w:rsid w:val="00B34EE4"/>
    <w:rsid w:val="00B3731F"/>
    <w:rsid w:val="00B57A1B"/>
    <w:rsid w:val="00B57C25"/>
    <w:rsid w:val="00B704C3"/>
    <w:rsid w:val="00B74B74"/>
    <w:rsid w:val="00C3286F"/>
    <w:rsid w:val="00C343D5"/>
    <w:rsid w:val="00C63B7A"/>
    <w:rsid w:val="00C8114B"/>
    <w:rsid w:val="00C97BB9"/>
    <w:rsid w:val="00CC3022"/>
    <w:rsid w:val="00CF14D4"/>
    <w:rsid w:val="00D21CE3"/>
    <w:rsid w:val="00D71DA0"/>
    <w:rsid w:val="00DA5A0C"/>
    <w:rsid w:val="00DB1C75"/>
    <w:rsid w:val="00DD0F89"/>
    <w:rsid w:val="00DD1F5E"/>
    <w:rsid w:val="00DF2509"/>
    <w:rsid w:val="00E103AC"/>
    <w:rsid w:val="00E10B89"/>
    <w:rsid w:val="00E4396B"/>
    <w:rsid w:val="00E60A4F"/>
    <w:rsid w:val="00E6106E"/>
    <w:rsid w:val="00E6213B"/>
    <w:rsid w:val="00E75947"/>
    <w:rsid w:val="00E921B8"/>
    <w:rsid w:val="00ED1488"/>
    <w:rsid w:val="00EE390C"/>
    <w:rsid w:val="00F00E3A"/>
    <w:rsid w:val="00F0264F"/>
    <w:rsid w:val="00F124C8"/>
    <w:rsid w:val="00F14FB6"/>
    <w:rsid w:val="00F263D8"/>
    <w:rsid w:val="00F442F1"/>
    <w:rsid w:val="00F506CF"/>
    <w:rsid w:val="00F55523"/>
    <w:rsid w:val="00F80103"/>
    <w:rsid w:val="00F828DB"/>
    <w:rsid w:val="00F83AB6"/>
    <w:rsid w:val="00F9341D"/>
    <w:rsid w:val="00F94A28"/>
    <w:rsid w:val="00FA7880"/>
    <w:rsid w:val="00FC0C12"/>
    <w:rsid w:val="02963B3F"/>
    <w:rsid w:val="0BE9357E"/>
    <w:rsid w:val="0C184E19"/>
    <w:rsid w:val="0C34BC35"/>
    <w:rsid w:val="10394DD6"/>
    <w:rsid w:val="13047972"/>
    <w:rsid w:val="1402CA77"/>
    <w:rsid w:val="1420CEF0"/>
    <w:rsid w:val="1482050A"/>
    <w:rsid w:val="1D0C77DB"/>
    <w:rsid w:val="1E9DF14C"/>
    <w:rsid w:val="1FC800CE"/>
    <w:rsid w:val="20C5E238"/>
    <w:rsid w:val="23B7C205"/>
    <w:rsid w:val="23F51F6F"/>
    <w:rsid w:val="2703BAB7"/>
    <w:rsid w:val="2B0C5F4B"/>
    <w:rsid w:val="3015A433"/>
    <w:rsid w:val="349E1E03"/>
    <w:rsid w:val="389AA534"/>
    <w:rsid w:val="3D1B7A4D"/>
    <w:rsid w:val="429AB74F"/>
    <w:rsid w:val="43D37012"/>
    <w:rsid w:val="48691E13"/>
    <w:rsid w:val="491DE070"/>
    <w:rsid w:val="4D2E3431"/>
    <w:rsid w:val="5088DB02"/>
    <w:rsid w:val="5299995C"/>
    <w:rsid w:val="553E73A3"/>
    <w:rsid w:val="5904E798"/>
    <w:rsid w:val="59326567"/>
    <w:rsid w:val="5ABCC9F4"/>
    <w:rsid w:val="5ACECE16"/>
    <w:rsid w:val="5B7E7932"/>
    <w:rsid w:val="5C710214"/>
    <w:rsid w:val="5EC916F3"/>
    <w:rsid w:val="642AF44F"/>
    <w:rsid w:val="64468309"/>
    <w:rsid w:val="65158925"/>
    <w:rsid w:val="6F1FB809"/>
    <w:rsid w:val="749FAE9B"/>
    <w:rsid w:val="7929826E"/>
    <w:rsid w:val="7EBBCDFF"/>
    <w:rsid w:val="7F14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466D"/>
  <w15:chartTrackingRefBased/>
  <w15:docId w15:val="{C6412CE6-DAE2-407E-BC78-0AC4DBE5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1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D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D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D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D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D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D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D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D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D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D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D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D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D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D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D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D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D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DA0"/>
    <w:rPr>
      <w:b/>
      <w:bCs/>
      <w:smallCaps/>
      <w:color w:val="0F4761" w:themeColor="accent1" w:themeShade="BF"/>
      <w:spacing w:val="5"/>
    </w:rPr>
  </w:style>
  <w:style w:type="character" w:customStyle="1" w:styleId="CommentReference">
    <w:name w:val="Comment Reference"/>
    <w:uiPriority w:val="99"/>
    <w:semiHidden/>
    <w:unhideWhenUsed/>
    <w:rsid w:val="00D71DA0"/>
    <w:rPr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unhideWhenUsed/>
    <w:rsid w:val="00D71DA0"/>
    <w:pPr>
      <w:spacing w:after="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D71DA0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E6D0B"/>
    <w:pPr>
      <w:spacing w:after="160" w:line="240" w:lineRule="auto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6D0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A329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84d6c-8fa0-45bd-8cfc-d3e197c409ed" xsi:nil="true"/>
    <DAS_x002d_analizy xmlns="4a4f68e9-3f33-45b9-a085-f2832c45a180">NIE</DAS_x002d_analizy>
    <opis xmlns="4a4f68e9-3f33-45b9-a085-f2832c45a180" xsi:nil="true"/>
    <lcf76f155ced4ddcb4097134ff3c332f xmlns="4a4f68e9-3f33-45b9-a085-f2832c45a180">
      <Terms xmlns="http://schemas.microsoft.com/office/infopath/2007/PartnerControls"/>
    </lcf76f155ced4ddcb4097134ff3c332f>
    <Departament xmlns="4a4f68e9-3f33-45b9-a085-f2832c45a180" xsi:nil="true"/>
    <DaneZagreg xmlns="4a4f68e9-3f33-45b9-a085-f2832c45a180">TAK</DaneZagre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56F75422AC03479FB5B603D029EB12" ma:contentTypeVersion="24" ma:contentTypeDescription="Utwórz nowy dokument." ma:contentTypeScope="" ma:versionID="8a91d2b66d1b523ee85a9641cb3d703d">
  <xsd:schema xmlns:xsd="http://www.w3.org/2001/XMLSchema" xmlns:xs="http://www.w3.org/2001/XMLSchema" xmlns:p="http://schemas.microsoft.com/office/2006/metadata/properties" xmlns:ns2="4a4f68e9-3f33-45b9-a085-f2832c45a180" xmlns:ns3="b1c84d6c-8fa0-45bd-8cfc-d3e197c409ed" targetNamespace="http://schemas.microsoft.com/office/2006/metadata/properties" ma:root="true" ma:fieldsID="d79066c001e3b05e449af7c84a63c79c" ns2:_="" ns3:_="">
    <xsd:import namespace="4a4f68e9-3f33-45b9-a085-f2832c45a180"/>
    <xsd:import namespace="b1c84d6c-8fa0-45bd-8cfc-d3e197c40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opis" minOccurs="0"/>
                <xsd:element ref="ns2:Departament" minOccurs="0"/>
                <xsd:element ref="ns2:DAS_x002d_analizy" minOccurs="0"/>
                <xsd:element ref="ns2:DaneZagre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f68e9-3f33-45b9-a085-f2832c45a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pis" ma:index="26" nillable="true" ma:displayName="opis" ma:format="Dropdown" ma:internalName="opis">
      <xsd:simpleType>
        <xsd:restriction base="dms:Text">
          <xsd:maxLength value="255"/>
        </xsd:restriction>
      </xsd:simpleType>
    </xsd:element>
    <xsd:element name="Departament" ma:index="27" nillable="true" ma:displayName="Departament" ma:format="Dropdown" ma:internalName="Departamen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P"/>
                    <xsd:enumeration value="DRKM"/>
                    <xsd:enumeration value="DZP"/>
                    <xsd:enumeration value="DOK"/>
                    <xsd:enumeration value="DDS"/>
                    <xsd:enumeration value="DL"/>
                    <xsd:enumeration value="DeZ"/>
                    <xsd:enumeration value="DEPZ"/>
                    <xsd:enumeration value="DWM"/>
                    <xsd:enumeration value="DRZ"/>
                    <xsd:enumeration value="DA"/>
                  </xsd:restriction>
                </xsd:simpleType>
              </xsd:element>
            </xsd:sequence>
          </xsd:extension>
        </xsd:complexContent>
      </xsd:complexType>
    </xsd:element>
    <xsd:element name="DAS_x002d_analizy" ma:index="28" nillable="true" ma:displayName="DAS-analizy" ma:default="NIE" ma:format="Dropdown" ma:internalName="DAS_x002d_analizy">
      <xsd:simpleType>
        <xsd:restriction base="dms:Choice">
          <xsd:enumeration value="TAK"/>
          <xsd:enumeration value="NIE"/>
        </xsd:restriction>
      </xsd:simpleType>
    </xsd:element>
    <xsd:element name="DaneZagreg" ma:index="29" nillable="true" ma:displayName="DaneZagreg" ma:default="TAK" ma:format="Dropdown" ma:internalName="DaneZagreg">
      <xsd:simpleType>
        <xsd:restriction base="dms:Choice">
          <xsd:enumeration value="TAK"/>
          <xsd:enumeration value="NIE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84d6c-8fa0-45bd-8cfc-d3e197c40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2463e4-4bdf-4158-8911-90c7514e3e82}" ma:internalName="TaxCatchAll" ma:readOnly="false" ma:showField="CatchAllData" ma:web="b1c84d6c-8fa0-45bd-8cfc-d3e197c40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EDAC8-D751-4173-838A-84A8BEB1DF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1A6486-D722-48F9-A9B4-A111C7D2B341}">
  <ds:schemaRefs>
    <ds:schemaRef ds:uri="http://schemas.microsoft.com/office/2006/metadata/properties"/>
    <ds:schemaRef ds:uri="http://schemas.microsoft.com/office/infopath/2007/PartnerControls"/>
    <ds:schemaRef ds:uri="b1c84d6c-8fa0-45bd-8cfc-d3e197c409ed"/>
    <ds:schemaRef ds:uri="4a4f68e9-3f33-45b9-a085-f2832c45a180"/>
  </ds:schemaRefs>
</ds:datastoreItem>
</file>

<file path=customXml/itemProps3.xml><?xml version="1.0" encoding="utf-8"?>
<ds:datastoreItem xmlns:ds="http://schemas.openxmlformats.org/officeDocument/2006/customXml" ds:itemID="{B41FD644-9D70-432E-A612-42D68FC3C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f68e9-3f33-45b9-a085-f2832c45a180"/>
    <ds:schemaRef ds:uri="b1c84d6c-8fa0-45bd-8cfc-d3e197c40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09140-21FF-46CC-9765-4ADB034EEC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3192</Words>
  <Characters>19153</Characters>
  <Application>Microsoft Office Word</Application>
  <DocSecurity>0</DocSecurity>
  <Lines>159</Lines>
  <Paragraphs>44</Paragraphs>
  <ScaleCrop>false</ScaleCrop>
  <Company/>
  <LinksUpToDate>false</LinksUpToDate>
  <CharactersWithSpaces>22301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Rocławska Julia</dc:creator>
  <cp:keywords/>
  <dc:description/>
  <cp:lastModifiedBy>Woźnialis Anna</cp:lastModifiedBy>
  <cp:revision>4</cp:revision>
  <cp:lastPrinted>2025-08-04T22:01:00Z</cp:lastPrinted>
  <dcterms:created xsi:type="dcterms:W3CDTF">2026-08-05T07:09:00Z</dcterms:created>
  <dcterms:modified xsi:type="dcterms:W3CDTF">2026-08-05T10:02:00Z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0x0101009656F75422AC03479FB5B603D029EB12</vt:lpwstr>
  </property>
  <property fmtid="{D5CDD505-2E9C-101B-9397-08002B2CF9AE}" pid="3" name="MediaServiceImageTags">
    <vt:lpwstr/>
  </property>
</Properties>
</file>